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1.005040.H18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trình báo đường thủy nội địa hoặc trình báo đường thủy nội địa bổ sung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gửi hồ sơ đề nghị xác nhận trình báo đường thủy nội địa đến Cảnh sát đường thủy hoặc Ủy ban nhân dân gần nhất nơi xảy ra tai nạn, sự cố.
- Thời hạn trình xác nhận trình báo đường thủy nội địa bao gồm:
+ Trường hợp phương tiện thủy nội địa, tàu biển, tàu cá bị tai nạn, sự cố trong vùng nước cảng, bến thủy nội địa thì trình báo đường thủy nội địa phải được trình Cảnh sát đường thủy hoặc Ủy ban nhân dân gần nhất nơi xảy ra tai nạn, sự cố trong thời hạn 48 (bốn mươi tám) giờ sau khi xảy ra tai nạn, sự cố.
+ Trường hợp phương tiện thủy nội địa, tàu biển, tàu cá bị tai nạn, sự cố trên đường thủy nội địa (ngoài vùng nước cảng, bến thủy nội địa) thì trình báo đường thủy nội địa phải được trình Cảnh sát đường thủy hoặc Ủy ban nhân dân gần nhất  nơi xảy ra tai nạn, sự cố chậm nhất 03 (ba) ngày làm việc, kể từ thời điểm xảy ra tai nạn, sự cố hoặc kể từ khi phương tiện thủy nội địa, tàu biển, tàu cá ghé vào cảng, bến thủy nội địa đầu tiên sau khi xảy ra tai nạn, sự cố.
+ Trường hợp tai nạn, sự cố xảy ra có liên quan đến hàng hóa trong hầm hàng thì trình báo đường thủy nội địa phải được trình Cảnh sát đường thủy hoặc Ủy ban nhân dân gần nhất  nơi xảy ra tai nạn, sự cố trước khi mở nắp hầm hàng. Trường hợp tai nạn, sự cố xảy ra với hàng hóa trong quá trình làm hàng (đã mở nắp hầm hàng) thì thực hiện, như trường hợp phương tiện thủy nội địa, tàu biển, tàu cá bị tai nạn, sự cố trên đường thủy nội địa.
+ Trường hợp không thể trình báo đường thủy nội địa trong thời hạn quy định thì trong trình báo đường thủy nội địa phải ghi rõ nguyên nhân của sự chậm trễ đó.</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Khi thuyền trưởng hoặc người lái phương tiện hoặc người được thuyền trưởng, người lái phương tiện ủy quyền nộp và xuất trình đủ các giấy tờ theo quy định, cơ quan có thẩm quyền tiến hành xác nhận việc trình báo đường thủy nội địa vào bản trình báo đường thủy nội địa.
- Thời hạn giải quyết xác nhận việc trình báo đường thủy nội địa không quá 02 (hai) giờ làm việc, kể từ khi đã nhận đủ các giấy tờ hợp lệ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02 (hai) giờ làm việc, kể từ khi đã nhận đủ các giấy tờ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giấy tờ phải nộp đối với phương tiện thủy nội địa, tàu cá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Trình báo đường thủy nội địa theo mẫu (02 bản)</w:t>
            </w:r>
          </w:p>
        </w:tc>
        <w:tc>
          <w:p/>
          <w:p>
            <w:pPr>
              <w:spacing w:after="0" w:before="0" w:lineRule="auto" w:line="276"/>
              <w:jc w:val="left"/>
            </w:pPr>
            <w:r>
              <w:rPr>
                <w:rFonts w:ascii="Times New Roman" w:hAnsi="Times New Roman" w:cs="Times New Roman" w:eastAsia="Times New Roman"/>
                <w:b w:val="false"/>
                <w:sz w:val="26"/>
              </w:rPr>
              <w:t>MauTrinhbaoTN.docx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Tự họa có mô tả sơ đồ vị trí xảy ra tai nạn, sự cố và đính kèm hình ảnh (nếu có),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nộp đối với tàu biển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Trình báo đường thủy nội địa theo mẫu (02 bản)</w:t>
            </w:r>
          </w:p>
        </w:tc>
        <w:tc>
          <w:p/>
          <w:p>
            <w:pPr>
              <w:spacing w:after="0" w:before="0" w:lineRule="auto" w:line="276"/>
              <w:jc w:val="left"/>
            </w:pPr>
            <w:r>
              <w:rPr>
                <w:rFonts w:ascii="Times New Roman" w:hAnsi="Times New Roman" w:cs="Times New Roman" w:eastAsia="Times New Roman"/>
                <w:b w:val="false"/>
                <w:sz w:val="26"/>
              </w:rPr>
              <w:t>MauTrinhbaoTN.docx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trích sao Nhật ký hàng hải những phần có liên quan đến vụ việc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trích sao Hải đồ liên quan đến vụ việc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xuất trình (bản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tàu biển: Bản trích sao Nhật ký hàng hải những phần có liên quan đến vụ việc, Bản trích sao Hải đồ liên quan đến vụ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phương tiện thủy nội địa, tàu cá: Bản sao Tự họa có mô tả sơ đồ vị trí xảy ra tai nạn, sự cố và đính kèm hình ảnh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bản trình báo đường thủy nội địa, ngoài chữ ký của thuyền trưởng hoặc người lái phương tiện và đóng dấu của tàu biển, phương tiện thủy nội địa, tàu cá (nếu có con dấu), còn phải có chữ ký của máy trưởng hoặc 01 (một) thủy thủ với tư cách là người làm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Ngoài số lượng trình báo đường thủy nội địa được quy định nói trên, thuyền trưởng hoặc người lái phương tiện có thể đề nghị xác nhận thêm các bản khác có cùng nội dung, nếu thấy cần thiết.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việc trình báo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áp dụng tại cảng, bến thủy nội địa</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69/2014/TT-BGTVT</w:t>
            </w:r>
          </w:p>
        </w:tc>
        <w:tc>
          <w:p/>
          <w:p>
            <w:pPr>
              <w:spacing w:after="0" w:before="0" w:lineRule="auto" w:line="276"/>
              <w:jc w:val="left"/>
            </w:pPr>
            <w:r>
              <w:rPr>
                <w:rFonts w:ascii="Times New Roman" w:hAnsi="Times New Roman" w:cs="Times New Roman" w:eastAsia="Times New Roman"/>
                <w:b w:val="false"/>
                <w:sz w:val="26"/>
              </w:rPr>
              <w:t>Quy định thủ tục xác nhận việc trình báo đường thủy nội địa</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2025-11-18T01:20:51Z</dcterms:created>
  <dc:creator>Apache POI</dc:creator>
</cp:coreProperties>
</file>