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nguồn gốc loài thủy sản thuộc Phụ lục Công ước quốc tế về buôn bán các loài động vật, thực vật hoang dã nguy cấp; loài thủy sản nguy cấp, quý, hiếm có nguồn gốc khai thác từ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w:t>
      </w:r>
    </w:p>
    <w:p>
      <w:pPr>
        <w:spacing w:after="0" w:before="0" w:lineRule="auto" w:line="276"/>
        <w:jc w:val="both"/>
      </w:pPr>
      <w:r>
        <w:rPr>
          <w:rFonts w:ascii="Times New Roman" w:hAnsi="Times New Roman" w:cs="Times New Roman" w:eastAsia="Times New Roman"/>
          <w:b w:val="false"/>
          <w:sz w:val="26"/>
        </w:rPr>
        <w:t>Tổ chức, cá nhân gửi hồ sơ đến Bộ phận Tiếp nhận và Trả kết quả Sở Nông nghiệp và Môi trường tỉnh Điện Biên (Tổ 1, phường Tân Thanh, thành phố Điện Biên Phủ, tỉnh Điện Biên)</w:t>
      </w:r>
    </w:p>
    <w:p>
      <w:pPr>
        <w:shd w:val="clear" w:color="auto" w:fill="F2F6F9"/>
        <w:spacing w:after="0" w:before="120" w:lineRule="auto" w:line="276"/>
        <w:jc w:val="both"/>
      </w:pPr>
      <w:r>
        <w:rPr>
          <w:rFonts w:ascii="Times New Roman" w:hAnsi="Times New Roman" w:cs="Times New Roman" w:eastAsia="Times New Roman"/>
          <w:b w:val="true"/>
          <w:sz w:val="26"/>
        </w:rPr>
        <w:t>b)</w:t>
      </w:r>
    </w:p>
    <w:p>
      <w:pPr>
        <w:spacing w:after="0" w:before="0" w:lineRule="auto" w:line="276"/>
        <w:jc w:val="both"/>
      </w:pPr>
      <w:r>
        <w:rPr>
          <w:rFonts w:ascii="Times New Roman" w:hAnsi="Times New Roman" w:cs="Times New Roman" w:eastAsia="Times New Roman"/>
          <w:b w:val="false"/>
          <w:sz w:val="26"/>
        </w:rPr>
        <w:t>b) Trường hợp nộp hồ sơ trực tiếp: Sở Nông nghiệp và Môi trường tỉnh Điện Biên kiểm tra thành phần hồ sơ và trả lời ngay khi tổ chức, cá nhân đến nộp hồ sơ;</w:t>
      </w:r>
    </w:p>
    <w:p>
      <w:pPr>
        <w:shd w:val="clear" w:color="auto" w:fill="F2F6F9"/>
        <w:spacing w:after="0" w:before="120" w:lineRule="auto" w:line="276"/>
        <w:jc w:val="both"/>
      </w:pPr>
      <w:r>
        <w:rPr>
          <w:rFonts w:ascii="Times New Roman" w:hAnsi="Times New Roman" w:cs="Times New Roman" w:eastAsia="Times New Roman"/>
          <w:b w:val="true"/>
          <w:sz w:val="26"/>
        </w:rPr>
        <w:t>c)</w:t>
      </w:r>
    </w:p>
    <w:p>
      <w:pPr>
        <w:spacing w:after="0" w:before="0" w:lineRule="auto" w:line="276"/>
        <w:jc w:val="both"/>
      </w:pPr>
      <w:r>
        <w:rPr>
          <w:rFonts w:ascii="Times New Roman" w:hAnsi="Times New Roman" w:cs="Times New Roman" w:eastAsia="Times New Roman"/>
          <w:b w:val="false"/>
          <w:sz w:val="26"/>
        </w:rPr>
        <w:t>c) Trường hợp nộp hồ sơ qua dịch vụ bưu chính hoặc qua môi trường mạng: Trong thời hạn không quá 02 ngày làm việc, Sở Nông nghiệp và Môi trường tỉnh Điện Biên xem xét tính đầy đủ, nếu hồ sơ chưa đầy đủ theo quy định, Sở Nông nghiệp và Phát triển nông thôn tỉnh Điện Biên thông báo cho tổ chức, cá nhân biết để bổ sung;</w:t>
      </w:r>
    </w:p>
    <w:p>
      <w:pPr>
        <w:shd w:val="clear" w:color="auto" w:fill="F2F6F9"/>
        <w:spacing w:after="0" w:before="120" w:lineRule="auto" w:line="276"/>
        <w:jc w:val="both"/>
      </w:pPr>
      <w:r>
        <w:rPr>
          <w:rFonts w:ascii="Times New Roman" w:hAnsi="Times New Roman" w:cs="Times New Roman" w:eastAsia="Times New Roman"/>
          <w:b w:val="true"/>
          <w:sz w:val="26"/>
        </w:rPr>
        <w:t>d)</w:t>
      </w:r>
    </w:p>
    <w:p>
      <w:pPr>
        <w:spacing w:after="0" w:before="0" w:lineRule="auto" w:line="276"/>
        <w:jc w:val="both"/>
      </w:pPr>
      <w:r>
        <w:rPr>
          <w:rFonts w:ascii="Times New Roman" w:hAnsi="Times New Roman" w:cs="Times New Roman" w:eastAsia="Times New Roman"/>
          <w:b w:val="false"/>
          <w:sz w:val="26"/>
        </w:rPr>
        <w:t>d) Trình tự xác nhận nguồn gốc: Trong thời hạn 03 ngày làm việc kể từ khi nhận được hồ sơ hợp lệ, Sở Nông nghiệp và Môi trường tỉnh Điện Biên tổ chức kiểm tra và cấp giấy xác nhận nguồn gốc, trường hợp không cấp giấy xác nhận nguồn gốc phải trả lời bằng văn bản, nêu rõ lý do.</w:t>
      </w:r>
    </w:p>
    <w:p>
      <w:pPr>
        <w:shd w:val="clear" w:color="auto" w:fill="F2F6F9"/>
        <w:spacing w:after="0" w:before="120" w:lineRule="auto" w:line="276"/>
        <w:jc w:val="both"/>
      </w:pPr>
      <w:r>
        <w:rPr>
          <w:rFonts w:ascii="Times New Roman" w:hAnsi="Times New Roman" w:cs="Times New Roman" w:eastAsia="Times New Roman"/>
          <w:b w:val="true"/>
          <w:sz w:val="26"/>
        </w:rPr>
        <w:t>đ)</w:t>
      </w:r>
    </w:p>
    <w:p>
      <w:pPr>
        <w:spacing w:after="0" w:before="0" w:lineRule="auto" w:line="276"/>
        <w:jc w:val="both"/>
      </w:pPr>
      <w:r>
        <w:rPr>
          <w:rFonts w:ascii="Times New Roman" w:hAnsi="Times New Roman" w:cs="Times New Roman" w:eastAsia="Times New Roman"/>
          <w:b w:val="false"/>
          <w:sz w:val="26"/>
        </w:rPr>
        <w:t>Trình tự xác nhận mẫu vật loài thủy sản nguy cấp, quý, hiếm được khai thác từ tự nhiên trước thời điểm quy định cấm khai thác có hiệu lực: trong thời hạn 07 ngày làm việc kể từ khi nhận đủ hồ sơ hợp lệ, cơ quan quản lý nhà nước về thủy sản cấp tỉnh thực hiện kiểm tra, xác minh hồ sơ và cấp Giấy xác nhận nguồn gốc theo Mẫu số 35.NT Phụ lục III ban hành kèm theo Nghị định số 26/2019/NĐ-CP; trường hợp không cấp Giấy xác nhận nguồn gốc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xác nhận nguồn gốc); 07 ngày làm việc (đối với xác nhận mẫu vật)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xác nhận nguồn gốc); 07 ngày làm việc (đối với xác nhận mẫu vật)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xác nhận nguồn gốc); 07 ngày làm việc (đối với xác nhận mẫu vật)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nguồn gốc loài thủy sản thuộc Phụ lục CITES; loài thủy sản nguy cấp, quý hiếm từ nuôi trồng thủy sản theo Mẫu số 06 Phụ lục IV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khai thác loài thủy sản nguy cấp, quý, hiếm.Văn bản chấp thuận khai thác loài thủy sản nguy cấp, quý, hiếm có hiệu lực theo thời gian thực hiện nhiệm vụ bảo tồn, nghiên cứu khoa học, nghiên cứu tạo giống ban đầu,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khai thác thủy sản, nhật ký khai thác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nguồn gốc mẫu vật khai thác từ tự nhiên có xác nhận của Tổ chức quản lý cảng cá hoặc Ủy ban nhân dân cấp xã hoặc cơ quan quản lý nhà nước về thủy sản cấp tỉnh tại thời điểm khai thác; hợp đồng mua, bán, cho, tặng có công chứng tại thời điểm mua, bán, cho, tặng đối với trường hợp tổ chức, cá nhân không phải là người trực tiếp khai thác, đối với trường hợp xác nhận mẫu vật loài thủy sản nguy cấp, quý, hiếm được khai thác từ tự nhiên trước thời điểm quy định cấm khai thác có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nguồn gốc loài thủy sản thuộc Phụ lục CITES; loài thủy sản nguy cấp, quý, hiếm có nguồn gốc khai thác từ tự nhiên theo Mẫu số 09 Phụ lục IV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2026-01-23T07:40:43Z</dcterms:created>
  <dc:creator>Apache POI</dc:creator>
</cp:coreProperties>
</file>