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1.001776.000.00.00.H18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Thực hiện, điều chỉnh, thôi hưởng trợ cấp xã hội hàng tháng, hỗ trợ kinh phí chăm sóc, nuôi dưỡng hàng tháng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Đối tượng, người giám hộ của đối tượng hoặc tổ chức, cá nhân có liên quan làm hồ sơ theo quy định, nộp tại Trung tâm phục vụ hành chính công cấp xã. Khi nộp hồ sơ cần xuất trình các giấy tờ sau (trường hợp nộp trực tiếp) để cán bộ tiếp nhận hồ sơ đối chiếu các thông tin kê khai trong tờ khai:
+ Giấy xác nhận thông tin về cư trú hoặc Giấy thông báo số định danh cá nhân và thông tin công dân trong Cơ sở dữ liệu quốc gia về dân cư; chứng minh thư nhân dân hoặc thẻ căn cước công dân; (Cơ quan có thẩm quyền, cán bộ, công chức, viên chức, cá nhân được giao trách nhiệm tiếp nhận, giải quyết thủ tục hành chính, cung cấp dịch vụ công phải khai thác, sử dụng thông tin về cư trú của công dân trong Cơ sở dữ liệu quốc gia về dân cư để giải quyết thủ tục hành chính, cung cấp dịch vụ công; trường hợp không thể khai thác được thông tin cư trú của công dân thì cơ quan có thẩm quyền, cán bộ, công chức, viên chức, cá nhân được giao trách nhiệm tiếp nhận, giải quyết thủ tục hành chính, cung cấp dịch vụ công có thể yêu cầu công dân nộp bản sao hoặc xuất trình một trong các giấy tờ có giá trị chứng minh thông tin về cư trú);
+ Giấy khai sinh của trẻ em đối với trường hợp xét trợ cấp xã hội đối với trẻ em, người đơn thân nghèo đang nuôi con, người khuyết tật đang nuôi con;
+ Giấy tờ xác nhận bị nhiễm HIV của cơ quan y tế có thẩm quyền đối với trường hợp bị nhiễm HIV;
+ Giấy tờ xác nhận đang mang thai của cơ quan y tế có thẩm quyền đối với trường hợp người khuyết tật đang mang thai;
+ Giấy xác nhận khuyết tật đối với trường hợp người khuyết tật.</w:t>
      </w:r>
    </w:p>
    <w:p>
      <w:pPr>
        <w:spacing w:after="0" w:before="0" w:lineRule="auto" w:line="276"/>
        <w:jc w:val="both"/>
      </w:pPr>
      <w:r>
        <w:rPr>
          <w:rFonts w:ascii="Times New Roman" w:hAnsi="Times New Roman" w:cs="Times New Roman" w:eastAsia="Times New Roman"/>
          <w:b w:val="false"/>
          <w:sz w:val="26"/>
        </w:rPr>
        <w:t>- Bước 2: Trong thời hạn 07 ngày làm việc, kể từ ngày nhận đủ hồ sơ, công chức Văn hóa - xã hội có trách nhiệm rà soát hồ sơ, trình Chủ tịch Ủy ban nhân dân cấp xã tổ chức việc xem xét, quyết định việc xét duyệt, thực hiện việc niêm yết công khai kết quả xét duyệt tại trụ sở Ủy ban nhân dân cấp xã trong thời gian 02 ngày làm việc, trừ những thông tin liên quan đến HIV/AIDS của đối tượng. Trường hợp có khiếu nại, trong thời hạn 10 ngày làm việc, kể từ ngày nhận được khiếu nại, Chủ tịch Ủy ban nhân dân cấp xã tổ chức xem xét, kết luận, công khai nội dung khiếu nại.
- Bước 3: Trong thời hạn 03 ngày làm việc, kể từ ngày hồ sơ được xét duyệt và không có khiếu nại, Chủ tịch Ủy ban nhân dân cấp xã có văn bản đề nghị kèm theo hồ sơ của đối tượng gửi Phòng Y tế.</w:t>
      </w:r>
    </w:p>
    <w:p>
      <w:pPr>
        <w:spacing w:after="0" w:before="0" w:lineRule="auto" w:line="276"/>
        <w:jc w:val="both"/>
      </w:pPr>
      <w:r>
        <w:rPr>
          <w:rFonts w:ascii="Times New Roman" w:hAnsi="Times New Roman" w:cs="Times New Roman" w:eastAsia="Times New Roman"/>
          <w:b w:val="false"/>
          <w:sz w:val="26"/>
        </w:rPr>
        <w:t>- Bước 4: Trong thời hạn 07 ngày làm việc, kể từ ngày nhận được hồ sơ của đối tượng và văn bản đề nghị của Chủ tịch Ủy ban nhân dân cấp xã, Phòng Y tế có trách nhiệm thẩm định, trình Chủ tịch Ủy ban nhân dân cấp huyện quyết định trợ cấp xã hội hàng tháng, hỗ trợ kinh phí chăm sóc, nuôi dưỡng hàng tháng cho đối tượng. Trường hợp đối tượng không đủ điều kiện hưởng, Phòng Y tế trả lời bằng văn bản và nêu rõ lý do.
- Bước 5: Trong thời hạn 03 ngày làm việc, kể từ ngày nhận được văn bản trình của Phòng Y tế, Chủ tịch Ủy ban nhân dân cấp huyện xem xét, quyết định trợ cấp xã hội hàng tháng, hỗ trợ kinh phí chăm sóc, nuôi dưỡng hàng tháng cho đối tượng.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Khi nộp hồ sơ trực tiếp cần xuất trình các giấy tờ sau để cán bộ tiếp nhận hồ sơ đối chiếu các thông tin kê khai trong tờ khai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xác nhận khuyết tật đối với trường hợp người khuyết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thông tin về cư trú hoặc Giấy thông báo số định danh cá nhân và thông tin công dân trong Cơ sở dữ liệu quốc gia về dân cư; chứng minh thư nhân dân hoặc thẻ căn cước công dân; (Cơ quan có thẩm quyền, cán bộ, công chức, viên chức, cá nhân được giao trách nhiệm tiếp nhận, giải quyết thủ tục hành chính, cung cấp dịch vụ công phải khai thác, sử dụng thông tin về cư trú của công dân trong Cơ sở dữ liệu quốc gia về dân cư để giải quyết thủ tục hành chính, cung cấp dịch vụ công; trường hợp không thể khai thác được thông tin cư trú của công dân thì cơ quan có thẩm quyền, cán bộ, công chức, viên chức, cá nhân được giao trách nhiệm tiếp nhận, giải quyết thủ tục hành chính, cung cấp dịch vụ công có thể yêu cầu công dân nộp bản sao hoặc xuất trình một trong các giấy tờ có giá trị chứng minh thông tin về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khai sinh của trẻ em đối với trường hợp xét trợ cấp xã hội đối với trẻ em, người đơn thân nghèo đang nuôi con, người khuyết tật đang nuôi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xác nhận bị nhiễm HIV của cơ quan y tế có thẩm quyền đối với trường hợp bị nhiễm HIV</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xác nhận đang mang thai của cơ quan y tế có thẩm quyền đối với trường hợp người khuyết tật đang mang thai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hồ sơ đề nghị hỗ trợ kinh phí chăm sóc, nuôi dưỡng hàng tháng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hộ gia đình có người khuyết tật (theo Mẫu số 2a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Mus2a.docx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nhận chăm sóc, nuôi dưỡng đối tượng bảo trợ xã hội (theo Mẫu số 2b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Mus2b.docx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của đối tượng được nhận chăm sóc, nuôi dưỡng trong trường hợp đối tượng không hưởng trợ cấp xã hội hàng tháng (theo Mẫu số 03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hồ sơ đề nghị trợ cấp xã hội hàng tháng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của đối tượng ( theo Mẫu số 1a, 1b, 1c, 1d, 1đ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Mus1d.docx</w:t>
            </w:r>
          </w:p>
          <w:p>
            <w:pPr>
              <w:spacing w:after="0" w:before="0" w:lineRule="auto" w:line="276"/>
              <w:jc w:val="left"/>
            </w:pPr>
            <w:r>
              <w:rPr>
                <w:rFonts w:ascii="Times New Roman" w:hAnsi="Times New Roman" w:cs="Times New Roman" w:eastAsia="Times New Roman"/>
                <w:b w:val="false"/>
                <w:sz w:val="26"/>
              </w:rPr>
              <w:t>Mus1b.docx</w:t>
            </w:r>
          </w:p>
          <w:p>
            <w:pPr>
              <w:spacing w:after="0" w:before="0" w:lineRule="auto" w:line="276"/>
              <w:jc w:val="left"/>
            </w:pPr>
            <w:r>
              <w:rPr>
                <w:rFonts w:ascii="Times New Roman" w:hAnsi="Times New Roman" w:cs="Times New Roman" w:eastAsia="Times New Roman"/>
                <w:b w:val="false"/>
                <w:sz w:val="26"/>
              </w:rPr>
              <w:t>Mus1a.docx</w:t>
            </w:r>
          </w:p>
          <w:p>
            <w:pPr>
              <w:spacing w:after="0" w:before="0" w:lineRule="auto" w:line="276"/>
              <w:jc w:val="left"/>
            </w:pPr>
            <w:r>
              <w:rPr>
                <w:rFonts w:ascii="Times New Roman" w:hAnsi="Times New Roman" w:cs="Times New Roman" w:eastAsia="Times New Roman"/>
                <w:b w:val="false"/>
                <w:sz w:val="26"/>
              </w:rPr>
              <w:t>Mus1c.docx</w:t>
            </w:r>
          </w:p>
          <w:p>
            <w:pPr>
              <w:spacing w:after="0" w:before="0" w:lineRule="auto" w:line="276"/>
              <w:jc w:val="left"/>
            </w:pPr>
            <w:r>
              <w:rPr>
                <w:rFonts w:ascii="Times New Roman" w:hAnsi="Times New Roman" w:cs="Times New Roman" w:eastAsia="Times New Roman"/>
                <w:b w:val="false"/>
                <w:sz w:val="26"/>
              </w:rPr>
              <w:t>Mus1.docx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thôi hưởng trợ cấp xã hội hàng tháng hỗ trợ kinh phí chăm sóc, nuôi dưỡng hàng tháng cho đối tượng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136/2013/NĐ-CP</w:t>
            </w:r>
          </w:p>
        </w:tc>
        <w:tc>
          <w:p/>
          <w:p>
            <w:pPr>
              <w:spacing w:after="0" w:before="0" w:lineRule="auto" w:line="276"/>
              <w:jc w:val="left"/>
            </w:pPr>
            <w:r>
              <w:rPr>
                <w:rFonts w:ascii="Times New Roman" w:hAnsi="Times New Roman" w:cs="Times New Roman" w:eastAsia="Times New Roman"/>
                <w:b w:val="false"/>
                <w:sz w:val="26"/>
              </w:rPr>
              <w:t>Nghị định 136/2013/NĐ-CP - 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21-10-2013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29/2014/TTLT-BLĐTBXH-BTC</w:t>
            </w:r>
          </w:p>
        </w:tc>
        <w:tc>
          <w:p/>
          <w:p>
            <w:pPr>
              <w:spacing w:after="0" w:before="0" w:lineRule="auto" w:line="276"/>
              <w:jc w:val="left"/>
            </w:pPr>
            <w:r>
              <w:rPr>
                <w:rFonts w:ascii="Times New Roman" w:hAnsi="Times New Roman" w:cs="Times New Roman" w:eastAsia="Times New Roman"/>
                <w:b w:val="false"/>
                <w:sz w:val="26"/>
              </w:rPr>
              <w:t>Thông tư liên tịch 29/2014/TTLT-BLĐTBXH-BTC - Hướng dẫn thực hiện một số điều của Nghị định số 136/2013/NĐ-CP ngày 21 tháng 10 năm 2013 của Chính phủ 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24-10-2014</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140/2018/NĐ-CP</w:t>
            </w:r>
          </w:p>
        </w:tc>
        <w:tc>
          <w:p/>
          <w:p>
            <w:pPr>
              <w:spacing w:after="0" w:before="0" w:lineRule="auto" w:line="276"/>
              <w:jc w:val="left"/>
            </w:pPr>
            <w:r>
              <w:rPr>
                <w:rFonts w:ascii="Times New Roman" w:hAnsi="Times New Roman" w:cs="Times New Roman" w:eastAsia="Times New Roman"/>
                <w:b w:val="false"/>
                <w:sz w:val="26"/>
              </w:rPr>
              <w:t>Nghị định 140/2018/NĐ-CP - Sửa đổi, bổ sung các Nghị định liên quan đến điều kiện đầu tư kinh doanh và thủ tục hành chính thuộc phạm vi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08-10-2018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15-03-2021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người giám hộ của đối tượng quy định tại Điều 5; hộ gia đình, cá nhân nhận chăm sóc, nuôi dưỡng hàng tháng tại cộng đồng theo quy định tại khoản 1 Điều 18 Nghị định số 20/2021/NĐ-CP.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2025-11-18T00:35:17Z</dcterms:created>
  <dc:creator>Apache POI</dc:creator>
</cp:coreProperties>
</file>