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
Tại địa điểm đăng ký hộ tịch lưu động, công chức tư pháp - hộ tịch hướng dẫn người yêu cầu điền đầy đủ thông tin trong Tờ khai đăng ký khai sinh; kiểm tra các giấy tờ làm cơ sở cho việc đăng ký khai sinh.</w:t>
      </w:r>
    </w:p>
    <w:p>
      <w:pPr>
        <w:spacing w:after="0" w:before="0" w:lineRule="auto" w:line="276"/>
        <w:jc w:val="both"/>
      </w:pPr>
      <w:r>
        <w:rPr>
          <w:rFonts w:ascii="Times New Roman" w:hAnsi="Times New Roman" w:cs="Times New Roman" w:eastAsia="Times New Roman"/>
          <w:b w:val="false"/>
          <w:sz w:val="26"/>
        </w:rPr>
        <w:t>Trong thời hạn 02 ngày làm việc, kể từ ngày tiếp nhận đủ hồ sơ, công chức tư pháp - hộ tịch báo cáo Chủ tịch Ủy ban nhân dân cấp xã. Trường hợp Chủ tịch Ủy ban nhân dân đồng ý giải quyết thì ký Giấy khai sinh cấp cho người có yêu cầu.</w:t>
      </w:r>
    </w:p>
    <w:p>
      <w:pPr>
        <w:spacing w:after="0" w:before="0" w:lineRule="auto" w:line="276"/>
        <w:jc w:val="both"/>
      </w:pPr>
      <w:r>
        <w:rPr>
          <w:rFonts w:ascii="Times New Roman" w:hAnsi="Times New Roman" w:cs="Times New Roman" w:eastAsia="Times New Roman"/>
          <w:b w:val="false"/>
          <w:sz w:val="26"/>
        </w:rPr>
        <w:t xml:space="preserve">Trong thời hạn 05 ngày kể từ ngày tiếp nhận đủ hồ sơ, công chức tư pháp - hộ tịch đem theo Giấy khai sinh và Sổ đăng ký khai sinh để trả kết quả cho người có yêu cầu tại địa điểm đăng ký lưu động; công chức tư pháp - hộ tịch ghi nội dung đăng ký vào Sổ đăng ký khai sinh, cùng người yêu cầu ký Sổ theo quy định. Tại mục “Ghi chú” trong Sổ đăng ký khai sinh ghi rõ “Đăng ký lưu động”. </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tờ hộ tịch cho người yêu cầu nghe và hướng dẫn người đó điểm chỉ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2025-11-18T01:08:18Z</dcterms:created>
  <dc:creator>Apache POI</dc:creator>
</cp:coreProperties>
</file>