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sinh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05 ngày làm việc, kể từ ngày tiếp nhận hồ sơ, UBND cấp xã kiểm tra, xác minh hồ sơ.</w:t>
      </w:r>
    </w:p>
    <w:p>
      <w:pPr>
        <w:spacing w:after="0" w:before="0" w:lineRule="auto" w:line="276"/>
        <w:jc w:val="both"/>
      </w:pPr>
      <w:r>
        <w:rPr>
          <w:rFonts w:ascii="Times New Roman" w:hAnsi="Times New Roman" w:cs="Times New Roman" w:eastAsia="Times New Roman"/>
          <w:b w:val="false"/>
          <w:sz w:val="26"/>
        </w:rPr>
        <w:t>UBND cấp xã có văn bản đề nghị Ủy ban nhân dân cấp xã nơi người có yêu cầu cư trú trước khi xuất cảnh kiểm tra, xác minh về việc đăng ký khai sinh của người yêu cầu và việc lưu giữ sổ hộ tịch.</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đề nghị, Ủy ban nhân dân xã nơi nhận được yêu cầu xác minh tiến hành kiểm tra, xác minh và trả lời bằng văn bản về việc người yêu cầu đã được đăng ký khai sinh hay chưa được đăng ký khai sinh; việc còn lưu giữ hoặc không lưu giữ được sổ hộ tịch.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kết quả xác minh, nếu thấy hồ sơ đầy đủ, chính xác, đúng quy định pháp luật, UBND cấp xã xem xét, quyết định. Trường hợp Chủ tịch Ủy ban nhân dân đồng ý giải quyết thì ký Giấy khai sinh cấp cho người yêu cầu; công chức làm công tác hộ tịch ghi nội dung khai sinh vào Sổ đăng ký khai sinh, cùng người đi đăng ký khai sinh ký tên vào Sổ.</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xml:space="preserve">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 Phí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 Phí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Trường hợp các thông tin cá nhân trong các giấy tờ này đã có trong CSDLQGVDC, Cơ sở dữ liệu hộ tịch điện tử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về việc chưa được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Giấy chứng minh nhân dân, Thẻ căn cước công dân, thẻ căn cước, Căn cước điện tử, Giấy chứng nhận căn cước,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09/2022/TT-BTP</w:t>
            </w:r>
          </w:p>
        </w:tc>
        <w:tc>
          <w:p/>
          <w:p>
            <w:pPr>
              <w:spacing w:after="0" w:before="0" w:lineRule="auto" w:line="276"/>
              <w:jc w:val="left"/>
            </w:pPr>
            <w:r>
              <w:rPr>
                <w:rFonts w:ascii="Times New Roman" w:hAnsi="Times New Roman" w:cs="Times New Roman" w:eastAsia="Times New Roman"/>
                <w:b w:val="false"/>
                <w:sz w:val="26"/>
              </w:rPr>
              <w:t>Thông tư 09/2022/TT-BTP</w:t>
            </w:r>
          </w:p>
        </w:tc>
        <w:tc>
          <w:p/>
          <w:p>
            <w:pPr>
              <w:spacing w:after="0" w:before="0" w:lineRule="auto" w:line="276"/>
              <w:jc w:val="left"/>
            </w:pPr>
            <w:r>
              <w:rPr>
                <w:rFonts w:ascii="Times New Roman" w:hAnsi="Times New Roman" w:cs="Times New Roman" w:eastAsia="Times New Roman"/>
                <w:b w:val="false"/>
                <w:sz w:val="26"/>
              </w:rPr>
              <w:t>30-12-2022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Việt Nam định cư ở nước ngoài, chưa được đăng ký khai sinh tại cơ quan có thẩm quyền Việt Nam, có hồ sơ, giấy tờ cá nhân (bản chính hoặc bản sao được chứng thực hợp lệ) như: giấy tờ tùy thân; Sổ hộ khẩu; Sổ tạm trú; giấy tờ khác do cơ quan nhà nước có thẩm quyền của Việt Nam cấp, trong đó có ghi nơi sinh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2025-11-18T01:09:57Z</dcterms:created>
  <dc:creator>Apache POI</dc:creator>
</cp:coreProperties>
</file>