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1.004772.000.00.00.H18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cho người đã có hồ sơ, giấy tờ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khai sinh nộp hồ sơ tại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đăng ký khai sinh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 Trong thời hạn 05 ngày làm việc, kể từ ngày tiếp nhận hồ sơ, công chức tư pháp - hộ tịch kiểm tra, xác minh hồ sơ. Trong trường hợp cần thiết, công chức tư pháp - hộ tịch báo cáo Chủ tịch Ủy ban nhân dân cấp xã có văn bản đề nghị Ủy ban nhân dân cấp xã nơi cư trú trước đây của người yêu cầu đăng ký lại khai sinh để kiểm tra, xác minh về việc đăng ký khai sinh và việc lưu giữ sổ hộ tịch.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kết quả xác minh, nếu thấy hồ sơ đăng ký khai sinh là đầy đủ, chính xác, đúng quy định pháp luật, công chức tư pháp - hộ tịch báo cáo Chủ tịch Ủy ban nhân dân cấp xã. Trường hợp Chủ tịch Ủy ban nhân dân cấp xã đồng ý giải quyết thì công chức tư pháp - hộ tịch ghi nội dung khai sinh vào Sổ đăng ký khai sinh, cùng người đi đăng ký khai sinh ký tên vào Sổ. Chủ tịch Ủy ban nhân dân cấp xã cấp Giấy khai sinh cho người được đăng ký khai sinh.</w:t>
      </w:r>
    </w:p>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p>
      <w:pPr>
        <w:spacing w:after="0" w:before="0" w:lineRule="auto" w:line="276"/>
        <w:jc w:val="both"/>
      </w:pPr>
      <w:r>
        <w:rPr>
          <w:rFonts w:ascii="Times New Roman" w:hAnsi="Times New Roman" w:cs="Times New Roman" w:eastAsia="Times New Roman"/>
          <w:b w:val="false"/>
          <w:sz w:val="26"/>
        </w:rPr>
        <w:t xml:space="preserve"> +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Phí cấp bản sao Giấy khai sinh (nếu có yêu cầu): 8.000 đồng/bản Đồng</w:t>
            </w:r>
          </w:p>
          <w:p>
            <w:pPr>
              <w:spacing w:after="0" w:before="0" w:lineRule="auto" w:line="276"/>
              <w:jc w:val="left"/>
            </w:pPr>
            <w:r>
              <w:rPr>
                <w:rFonts w:ascii="Times New Roman" w:hAnsi="Times New Roman" w:cs="Times New Roman" w:eastAsia="Times New Roman"/>
                <w:b w:val="false"/>
                <w:sz w:val="26"/>
              </w:rPr>
              <w:t xml:space="preserve">Lệ phí :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Phí cấp bản sao Giấy khai sinh (nếu có yêu cầu): 8.000 đồng/bản Đồng</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Phí cấp bản sao Giấy khai sinh (nếu có yêu cầu): 8.000 đồng/bản Đồng</w:t>
            </w:r>
          </w:p>
          <w:p>
            <w:pPr>
              <w:spacing w:after="0" w:before="0" w:lineRule="auto" w:line="276"/>
              <w:jc w:val="left"/>
            </w:pPr>
            <w:r>
              <w:rPr>
                <w:rFonts w:ascii="Times New Roman" w:hAnsi="Times New Roman" w:cs="Times New Roman" w:eastAsia="Times New Roman"/>
                <w:b w:val="false"/>
                <w:sz w:val="26"/>
              </w:rPr>
              <w:t xml:space="preserve">Lệ phí :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sinh. Trường hợp các thông tin cá nhân trong các giấy tờ này đã có trong CSDLQGVDC, Cơ sở dữ liệu hộ tịch điện tử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đoan của người yêu cầu về việc chưa được đăng ký khai sinh.</w:t>
            </w:r>
          </w:p>
        </w:tc>
        <w:tc>
          <w:p/>
          <w:p>
            <w:pPr>
              <w:spacing w:after="0" w:before="0" w:lineRule="auto" w:line="276"/>
              <w:jc w:val="left"/>
            </w:pPr>
            <w:r>
              <w:rPr>
                <w:rFonts w:ascii="Times New Roman" w:hAnsi="Times New Roman" w:cs="Times New Roman" w:eastAsia="Times New Roman"/>
                <w:b w:val="false"/>
                <w:sz w:val="26"/>
              </w:rPr>
              <w:t>20. Mẫu giấy cam đoan.doc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 Chứng minh nhân dân/Thẻ căn cước công dân/Thẻ căn cước/Căn cước điện tử/Giấy chứng nhận căn cước/Hộ chiếu; giấy tờ chứng minh về nơi cư trú; Bằng tốt nghiệp, Giấy chứng nhận, Chứng chỉ, Học bạ, Hồ sơ học tập do cơ quan có thẩm quyền cấp hoặc xác nhận; giấy tờ khác có thông tin về họ, chữ đệm,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tuyến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cư trú trong nước, sinh trước ngày 01/01/2016, chưa được đăng ký khai sinh, có hồ sơ, giấy tờ cá nhân (bản chính hoặc bản sao được chứng thực hợp lệ) như: giấy tờ tùy thân; Sổ hộ khẩu; Sổ tạm trú; giấy tờ khác do cơ quan nhà nước có thẩm quyền của Việt Nam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2025-11-18T01:12:50Z</dcterms:created>
  <dc:creator>Apache POI</dc:creator>
</cp:coreProperties>
</file>