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kết hôn nộp hồ sơ tại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Nếu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hợp lệ, công chức tư pháp - hộ tịch kiểm tra, xác minh hồ sơ, nếu hai bên nam, nữ đủ điều kiện kết hôn theo quy định thì báo cáo Chủ tịch Ủy ban nhân dân cấp xã xem xét, quyết định. Trường hợp Chủ tịch Ủy ban nhân dân xã đồng ý giải quyết thì ký 02 Giấy chứng nhận kết hôn; công chức tư pháp - hộ tịch ghi việc kết hôn vào Sổ đăng ký kết hôn, cùng hai bên nam, nữ ký vào Sổ; Hai bên nam, nữ cùng ký vào Giấy chứng nhận kết hôn; Chủ tịch Ủy ban nhân dân tổ chức trao Giấy chứng nhận kết hôn cho hai bên nam, nữ.</w:t>
      </w:r>
    </w:p>
    <w:p>
      <w:pPr>
        <w:spacing w:after="0" w:before="0" w:lineRule="auto" w:line="276"/>
        <w:jc w:val="both"/>
      </w:pPr>
      <w:r>
        <w:rPr>
          <w:rFonts w:ascii="Times New Roman" w:hAnsi="Times New Roman" w:cs="Times New Roman" w:eastAsia="Times New Roman"/>
          <w:b w:val="false"/>
          <w:sz w:val="26"/>
        </w:rPr>
        <w:t>* Lưu ý:
+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
+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w:t>
            </w:r>
          </w:p>
        </w:tc>
        <w:tc>
          <w:p/>
          <w:p>
            <w:pPr>
              <w:spacing w:after="0" w:before="0" w:lineRule="auto" w:line="276"/>
              <w:jc w:val="left"/>
            </w:pPr>
            <w:r>
              <w:rPr>
                <w:rFonts w:ascii="Times New Roman" w:hAnsi="Times New Roman" w:cs="Times New Roman" w:eastAsia="Times New Roman"/>
                <w:b w:val="false"/>
                <w:sz w:val="26"/>
              </w:rPr>
              <w:t>Trường hợp cần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láng giềng cấp không quá 06 tháng tính đến ngày nhận hồ sơ, xác nhận công dân nước láng giềng hiện tại là người không có vợ hoặc không có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công dân Việt Nam.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kết hôn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địa bàn xã ở khu vực biên giới đăng ký kết hôn với công dân của nước láng giềng thường trú tại đơn vị hành chính tương đương cấp xã của Việt Nam tiếp giáp với xã ở khu vực biên giới của Việt Nam nơi công dân Việt Nam thường trú.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2025-11-18T01:10:18Z</dcterms:created>
  <dc:creator>Apache POI</dc:creator>
</cp:coreProperties>
</file>