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2.000884.000.00.00.H18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2612/QĐ-UBND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chứng thực chữ ký trong các giấy tờ, văn bản (áp dụng cho cả trường hợp chứng thực điểm chỉ và trường hợp người yêu cầu chứng thực không thể ký, không thể điểm chỉ được)</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 Cơ quan khác</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Chứng thực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yêu cầu chứng thực chữ ký/điểm chỉ/không thể ký, không thể điểm chỉ được phải xuất trình các giấy tờ phục vụ việc chứng thực chữ ký.</w:t>
      </w:r>
    </w:p>
    <w:p>
      <w:pPr>
        <w:spacing w:after="0" w:before="0" w:lineRule="auto" w:line="276"/>
        <w:jc w:val="both"/>
      </w:pPr>
      <w:r>
        <w:rPr>
          <w:rFonts w:ascii="Times New Roman" w:hAnsi="Times New Roman" w:cs="Times New Roman" w:eastAsia="Times New Roman"/>
          <w:b w:val="false"/>
          <w:sz w:val="26"/>
        </w:rPr>
        <w:t>Trong trường hợp người yêu cầu chứng thực không thông thạo tiếng Việt thì phải có người phiên dịch. Người phiên dịch phải là người có năng lực hành vi dân sự đầy đủ theo quy định của pháp luật, thông thạo tiếng Việt và ngôn ngữ mà người yêu cầu chứng thực sử dụng. Người phiên dịch do người yêu cầu chứng thực mời hoặc do cơ quan thực hiện chứng thực chỉ định. Thù lao phiên dịch do người yêu cầu chứng thực trả.</w:t>
      </w:r>
    </w:p>
    <w:p>
      <w:pPr>
        <w:spacing w:after="0" w:before="0" w:lineRule="auto" w:line="276"/>
        <w:jc w:val="both"/>
      </w:pPr>
      <w:r>
        <w:rPr>
          <w:rFonts w:ascii="Times New Roman" w:hAnsi="Times New Roman" w:cs="Times New Roman" w:eastAsia="Times New Roman"/>
          <w:b w:val="false"/>
          <w:sz w:val="26"/>
        </w:rPr>
        <w:t>Người thực hiện chứng thực (hoặc người tiếp nhận hồ sơ trong trường hợp tiếp nhận tại bộ phận một cửa, một cửa liên thông) kiểm tra giấy tờ yêu cầu chứng thực, nếu thấy đủ giấy tờ theo quy định, tại thời điểm chứng thực, người yêu cầu chứng thực minh mẫn, nhận thức và làm chủ được hành vi của mình và việc chứng thực không thuộc các trường hợp không được chứng thực chữ ký thì yêu cầu người yêu cầu chứng thực ký/điểm chỉ trước mặt và thực hiện chứng thực như sau:
* Ghi đầy đủ lời chứng chứng thực chữ ký theo mẫu quy định phía dưới chữ ký được chứng thực hoặc trang liền sau của trang giấy tờ, văn bản có chữ ký được chứng thực; Nếu hồ sơ tiếp nhận tại bộ phận một cửa, một cửa liên thông thì người tiếp nhận hồ sơ ký vào dưới lời chứng theo mẫu quy định và chuyển hồ sơ cho người thực hiện chứng thực.
* Người thực hiện chứng thực ký, ghi rõ họ tên, đóng dấu của cơ quan, tổ chức thực hiện chứng thực và ghi vào sổ chứng thực.</w:t>
      </w:r>
    </w:p>
    <w:p>
      <w:pPr>
        <w:spacing w:after="0" w:before="0" w:lineRule="auto" w:line="276"/>
        <w:jc w:val="both"/>
      </w:pPr>
      <w:r>
        <w:rPr>
          <w:rFonts w:ascii="Times New Roman" w:hAnsi="Times New Roman" w:cs="Times New Roman" w:eastAsia="Times New Roman"/>
          <w:b w:val="false"/>
          <w:sz w:val="26"/>
        </w:rPr>
        <w:t>Đối với giấy tờ, văn bản có từ (02) hai tờ trở lên thì phải đóng dấu giáp lai. Trường hợp lời chứng được ghi tại tờ liền sau của trang có chữ ký thì phải đóng dấu giáp lai giữa giấy tờ, văn bản chứng thực chữ ký và trang ghi lời chứng.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w:t>
              <w:t xml:space="preserve"> (10.000 đồng/trường hợp (trường hợp được tính là một hoặc nhiều chữ ký trong một giấy tờ, văn bản))</w:t>
            </w:r>
          </w:p>
        </w:tc>
        <w:tc>
          <w:p/>
          <w:p>
            <w:pPr>
              <w:spacing w:after="0" w:before="0" w:lineRule="auto" w:line="276"/>
              <w:jc w:val="left"/>
            </w:pPr>
            <w:r>
              <w:rPr>
                <w:rFonts w:ascii="Times New Roman" w:hAnsi="Times New Roman" w:cs="Times New Roman" w:eastAsia="Times New Roman"/>
                <w:b w:val="false"/>
                <w:sz w:val="26"/>
              </w:rPr>
              <w:t>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 </w:t>
            </w:r>
          </w:p>
        </w:tc>
        <w:tc>
          <w:p/>
          <w:p>
            <w:pPr>
              <w:spacing w:after="0" w:before="0" w:lineRule="auto" w:line="276"/>
              <w:jc w:val="left"/>
            </w:pPr>
            <w:r>
              <w:rPr>
                <w:rFonts w:ascii="Times New Roman" w:hAnsi="Times New Roman" w:cs="Times New Roman" w:eastAsia="Times New Roman"/>
                <w:b w:val="false"/>
                <w:sz w:val="26"/>
              </w:rPr>
              <w:t xml:space="preserve">Phí :  </w:t>
              <w:t xml:space="preserve"> (10.000 đồng/trường hợp (trường hợp được tính là một hoặc nhiều chữ ký trong một giấy tờ, văn bản))</w:t>
            </w:r>
          </w:p>
        </w:tc>
        <w:tc>
          <w:p/>
          <w:p>
            <w:pPr>
              <w:spacing w:after="0" w:before="0" w:lineRule="auto" w:line="276"/>
              <w:jc w:val="left"/>
            </w:pPr>
            <w:r>
              <w:rPr>
                <w:rFonts w:ascii="Times New Roman" w:hAnsi="Times New Roman" w:cs="Times New Roman" w:eastAsia="Times New Roman"/>
                <w:b w:val="false"/>
                <w:sz w:val="26"/>
              </w:rPr>
              <w:t>Trong ngày cơ quan, tổ chức tiếp nhận yêu cầu hoặc trong ngày làm việc tiếp theo, nếu tiếp nhận yêu cầu sau 15 giờ. Trường hợp trả kết quả trong ngày làm việc tiếp theo thì người tiếp nhận hồ sơ phải có phiếu hẹn ghi rõ thời gian (giờ, ngày) trả kết quả cho người yêu cầu chứng thực.</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Người yêu cầu chứng thực phải xuất trình các giấy tờ sau:</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văn bản mà mình sẽ yêu cầu chứng thực chữ ký. Trường hợp chứng thực chữ ký trong giấy tờ, văn bản bằng tiếng nước ngoài, nếu người thực hiện chứng thực không hiểu rõ nội dung của giấy tờ, văn bản thì có quyền yêu cầu người yêu cầu chứng thực nộp kèm theo bản dịch ra tiếng Việt nội dung của giấy tờ, văn bản đó (bản dịch không cần công chứng hoặc chứng thực chữ ký người dịch, người yêu cầu chứng thực phải chịu trách nhiệm về nội dung của bản dịch).  + Người yêu cầu chứng thực nhận kết quả tại nơi nộp hồ sơ.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Một trong các giấy tờ sau: Căn cước điện tử; bản chính hoặc bản sao của Thẻ căn cước công dân hoặc Thẻ căn cước hoặc Giấy chứng nhận căn cước hoặc Hộ chiếu hoặc giấy tờ xuất nhập cảnh hoặc giấy tờ có giá trị đi lại quốc tế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Cán bộ, công chức, viên chức, 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Tổ chức hành nghề công chứng, 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  Tổ chức hành nghề công chứng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tờ, văn bản được chứng thực chữ ký/điểm chỉ</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257/2016/TT-BTC</w:t>
            </w:r>
          </w:p>
        </w:tc>
        <w:tc>
          <w:p/>
          <w:p>
            <w:pPr>
              <w:spacing w:after="0" w:before="0" w:lineRule="auto" w:line="276"/>
              <w:jc w:val="left"/>
            </w:pPr>
            <w:r>
              <w:rPr>
                <w:rFonts w:ascii="Times New Roman" w:hAnsi="Times New Roman" w:cs="Times New Roman" w:eastAsia="Times New Roman"/>
                <w:b w:val="false"/>
                <w:sz w:val="26"/>
              </w:rPr>
              <w:t>Thông tư 257/2016/TT-BTC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23/2015/NĐ-CP</w:t>
            </w:r>
          </w:p>
        </w:tc>
        <w:tc>
          <w:p/>
          <w:p>
            <w:pPr>
              <w:spacing w:after="0" w:before="0" w:lineRule="auto" w:line="276"/>
              <w:jc w:val="left"/>
            </w:pPr>
            <w:r>
              <w:rPr>
                <w:rFonts w:ascii="Times New Roman" w:hAnsi="Times New Roman" w:cs="Times New Roman" w:eastAsia="Times New Roman"/>
                <w:b w:val="false"/>
                <w:sz w:val="26"/>
              </w:rPr>
              <w:t>Nghị định 23/2015/NĐ-CP</w:t>
            </w:r>
          </w:p>
        </w:tc>
        <w:tc>
          <w:p/>
          <w:p>
            <w:pPr>
              <w:spacing w:after="0" w:before="0" w:lineRule="auto" w:line="276"/>
              <w:jc w:val="left"/>
            </w:pPr>
            <w:r>
              <w:rPr>
                <w:rFonts w:ascii="Times New Roman" w:hAnsi="Times New Roman" w:cs="Times New Roman" w:eastAsia="Times New Roman"/>
                <w:b w:val="false"/>
                <w:sz w:val="26"/>
              </w:rPr>
              <w:t>16-02-2015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20/2015/TT-BTP</w:t>
            </w:r>
          </w:p>
        </w:tc>
        <w:tc>
          <w:p/>
          <w:p>
            <w:pPr>
              <w:spacing w:after="0" w:before="0" w:lineRule="auto" w:line="276"/>
              <w:jc w:val="left"/>
            </w:pPr>
            <w:r>
              <w:rPr>
                <w:rFonts w:ascii="Times New Roman" w:hAnsi="Times New Roman" w:cs="Times New Roman" w:eastAsia="Times New Roman"/>
                <w:b w:val="false"/>
                <w:sz w:val="26"/>
              </w:rPr>
              <w:t>Thông tư  20/2015/TT-BTP</w:t>
            </w:r>
          </w:p>
        </w:tc>
        <w:tc>
          <w:p/>
          <w:p>
            <w:pPr>
              <w:spacing w:after="0" w:before="0" w:lineRule="auto" w:line="276"/>
              <w:jc w:val="left"/>
            </w:pPr>
            <w:r>
              <w:rPr>
                <w:rFonts w:ascii="Times New Roman" w:hAnsi="Times New Roman" w:cs="Times New Roman" w:eastAsia="Times New Roman"/>
                <w:b w:val="false"/>
                <w:sz w:val="26"/>
              </w:rPr>
              <w:t>29-12-2015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226/2016/TT-BTC</w:t>
            </w:r>
          </w:p>
        </w:tc>
        <w:tc>
          <w:p/>
          <w:p>
            <w:pPr>
              <w:spacing w:after="0" w:before="0" w:lineRule="auto" w:line="276"/>
              <w:jc w:val="left"/>
            </w:pPr>
            <w:r>
              <w:rPr>
                <w:rFonts w:ascii="Times New Roman" w:hAnsi="Times New Roman" w:cs="Times New Roman" w:eastAsia="Times New Roman"/>
                <w:b w:val="false"/>
                <w:sz w:val="26"/>
              </w:rPr>
              <w:t>Thông tư 	226/2016/TT-BTC</w:t>
            </w:r>
          </w:p>
        </w:tc>
        <w:tc>
          <w:p/>
          <w:p>
            <w:pPr>
              <w:spacing w:after="0" w:before="0" w:lineRule="auto" w:line="276"/>
              <w:jc w:val="left"/>
            </w:pPr>
            <w:r>
              <w:rPr>
                <w:rFonts w:ascii="Times New Roman" w:hAnsi="Times New Roman" w:cs="Times New Roman" w:eastAsia="Times New Roman"/>
                <w:b w:val="false"/>
                <w:sz w:val="26"/>
              </w:rPr>
              <w:t>11-11-2016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01/2020/TT-BTP</w:t>
            </w:r>
          </w:p>
        </w:tc>
        <w:tc>
          <w:p/>
          <w:p>
            <w:pPr>
              <w:spacing w:after="0" w:before="0" w:lineRule="auto" w:line="276"/>
              <w:jc w:val="left"/>
            </w:pPr>
            <w:r>
              <w:rPr>
                <w:rFonts w:ascii="Times New Roman" w:hAnsi="Times New Roman" w:cs="Times New Roman" w:eastAsia="Times New Roman"/>
                <w:b w:val="false"/>
                <w:sz w:val="26"/>
              </w:rPr>
              <w:t>Thông tư 01/2020/TT-BTP</w:t>
            </w:r>
          </w:p>
        </w:tc>
        <w:tc>
          <w:p/>
          <w:p>
            <w:pPr>
              <w:spacing w:after="0" w:before="0" w:lineRule="auto" w:line="276"/>
              <w:jc w:val="left"/>
            </w:pPr>
            <w:r>
              <w:rPr>
                <w:rFonts w:ascii="Times New Roman" w:hAnsi="Times New Roman" w:cs="Times New Roman" w:eastAsia="Times New Roman"/>
                <w:b w:val="false"/>
                <w:sz w:val="26"/>
              </w:rPr>
              <w:t>03-03-2020</w:t>
            </w:r>
          </w:p>
        </w:tc>
        <w:tc>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280/2025/NĐ-CP</w:t>
            </w:r>
          </w:p>
        </w:tc>
        <w:tc>
          <w:p/>
          <w:p>
            <w:pPr>
              <w:spacing w:after="0" w:before="0" w:lineRule="auto" w:line="276"/>
              <w:jc w:val="left"/>
            </w:pPr>
            <w:r>
              <w:rPr>
                <w:rFonts w:ascii="Times New Roman" w:hAnsi="Times New Roman" w:cs="Times New Roman" w:eastAsia="Times New Roman"/>
                <w:b w:val="false"/>
                <w:sz w:val="26"/>
              </w:rPr>
              <w:t>Nghị định số 280/2025/NĐ-CP sửa đổi, bổ sung một số điều của Nghị định số 23/2015/NĐ-CP về cấp bản sao từ sổ gốc, chứng thực bản sao từ bản chính, chứng thực chữ ký và chứng thực hợp đồng, giao dịch, được sửa đổi, bổ sung bởi Nghị định số 07/2025/NĐ-CP</w:t>
            </w:r>
          </w:p>
        </w:tc>
        <w:tc>
          <w:p/>
          <w:p>
            <w:pPr>
              <w:spacing w:after="0" w:before="0" w:lineRule="auto" w:line="276"/>
              <w:jc w:val="left"/>
            </w:pPr>
            <w:r>
              <w:rPr>
                <w:rFonts w:ascii="Times New Roman" w:hAnsi="Times New Roman" w:cs="Times New Roman" w:eastAsia="Times New Roman"/>
                <w:b w:val="false"/>
                <w:sz w:val="26"/>
              </w:rPr>
              <w:t>27-10-2025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Trường hợp không được chứng thực chữ ký:
+ Tại thời điểm chứng thực, người yêu cầu chứng thực chữ ký không nhận thức và làm chủ được hành vi của mình.
+ Người yêu cầu chứng thực chữ ký xuất trình Căn cước điện tử hoặc Thẻ căn cước công dân hoặc Thẻ căn cước hoặc Giấy chứng nhận căn cước hoặc Hộ chiếu hoặc giấy tờ xuất nhập cảnh hoặc giấy tờ có giá trị đi lại quốc tế không còn giá trị sử dụng hoặc giả mạo.
+ Giấy tờ, văn bản mà người yêu cầu chứng thực ký vào có nội dung quy định tại Khoản 4 Điều 22 của Nghị định số 23/2015/NĐ-CP.
+ Giấy tờ, văn bản có nội dung là giao dịch; trừ Giấy ủy quyền trong các trường hợp Giấy ủy quyền: (1) ủy quyền về việc nộp hộ, nhận hộ hồ sơ, giấy tờ, trừ trường hợp pháp luật quy định không được ủy quyền; (2) ủy quyền nhận hộ lương hưu, bưu phẩm, trợ cấp, phụ cấp; (3) ủy quyền nhờ trông nom nhà cửa; (4) ủy quyền của thành viên hộ gia đình để vay vốn tại Ngân hàng chính sách xã hội;  hoặc trừ trường hợp pháp luật có quy định khác.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2025-11-18T00:39:32Z</dcterms:created>
  <dc:creator>Apache POI</dc:creator>
</cp:coreProperties>
</file>