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1.004873.000.00.00.H18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xác nhận tình trạng hôn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có yêu cầu cấp Giấy xác nhận tình trạng hôn nhân nộp hồ sơ tại Trung tâm Phục vụ hành chính công tỉnh Điện Biên hoặc Trung tâm Phục vụ hành chính công của UBND cấp xã.</w:t>
      </w:r>
    </w:p>
    <w:p>
      <w:pPr>
        <w:spacing w:after="0" w:before="0" w:lineRule="auto" w:line="276"/>
        <w:jc w:val="both"/>
      </w:pPr>
      <w:r>
        <w:rPr>
          <w:rFonts w:ascii="Times New Roman" w:hAnsi="Times New Roman" w:cs="Times New Roman" w:eastAsia="Times New Roman"/>
          <w:b w:val="false"/>
          <w:sz w:val="26"/>
        </w:rPr>
        <w:t>- Người tiếp nhận có trách nhiệm kiểm tra ngay toàn bộ hồ sơ, đối chiếu thông tin trong Tờ khai và tính hợp lệ của giấy tờ trong hồ sơ do người yêu cầu nộp, xuất trình.</w:t>
      </w:r>
    </w:p>
    <w:p>
      <w:pPr>
        <w:spacing w:after="0" w:before="0" w:lineRule="auto" w:line="276"/>
        <w:jc w:val="both"/>
      </w:pPr>
      <w:r>
        <w:rPr>
          <w:rFonts w:ascii="Times New Roman" w:hAnsi="Times New Roman" w:cs="Times New Roman" w:eastAsia="Times New Roman"/>
          <w:b w:val="false"/>
          <w:sz w:val="26"/>
        </w:rPr>
        <w:t>- Nếu hồ sơ đầy đủ, hợp lệ, người tiếp nhận hồ sơ viết giấy tiếp nhận, trong đó ghi rõ ngày, giờ trả kết quả; nếu hồ sơ chưa đầy đủ, hoàn thiện thì hướng dẫn người nộp hồ sơ bổ sung, hoàn thiện theo quy định; trường hợp không thể bổ sung, hoàn thiện hồ sơ ngay thì phải lập thành văn bản hướng dẫn, trong đó nêu rõ loại giấy tờ, nội dung cần bổ sung, hoàn thiện,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 Nếu hồ sơ sau khi đã được hướng dẫn mà không được bổ sung đầy đủ, hoàn thiện thì người tiếp nhận từ chối tiếp nhận hồ sơ và lập văn bản từ chối tiếp nhận hồ sơ, trong đó ghi rõ lý do từ chối,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 Trong thời hạn 03 ngày làm việc, kể từ ngày nhận đủ hồ sơ hợp lệ, công chức tư pháp - hộ tịch kiểm tra, xác minh tình trạng hôn nhân của người có yêu cầu.</w:t>
      </w:r>
    </w:p>
    <w:p>
      <w:pPr>
        <w:spacing w:after="0" w:before="0" w:lineRule="auto" w:line="276"/>
        <w:jc w:val="both"/>
      </w:pPr>
      <w:r>
        <w:rPr>
          <w:rFonts w:ascii="Times New Roman" w:hAnsi="Times New Roman" w:cs="Times New Roman" w:eastAsia="Times New Roman"/>
          <w:b w:val="false"/>
          <w:sz w:val="26"/>
        </w:rPr>
        <w:t>Trường hợp người yêu cầu xác nhận tình trạng hôn nhân đã từng đăng ký thường trú tại nhiều nơi khác nhau thì người đó có trách nhiệm chứng minh về tình trạng hôn nhân của mình. Trường hợp người yêu cầu không chứng minh được thì công chức tư pháp - hộ tịch báo cáo Chủ tịch Ủy ban nhân dân cấp xã có văn bản đề nghị Ủy ban nhân dân cấp xã nơi người đó đã từng đăng ký thường trú tiến hành kiểm tra, xác minh về tình trạng hôn nhân của người đó.</w:t>
      </w:r>
    </w:p>
    <w:p>
      <w:pPr>
        <w:spacing w:after="0" w:before="0" w:lineRule="auto" w:line="276"/>
        <w:jc w:val="both"/>
      </w:pPr>
      <w:r>
        <w:rPr>
          <w:rFonts w:ascii="Times New Roman" w:hAnsi="Times New Roman" w:cs="Times New Roman" w:eastAsia="Times New Roman"/>
          <w:b w:val="false"/>
          <w:sz w:val="26"/>
        </w:rPr>
        <w:t>Trong thời hạn 03 ngày làm việc, kể từ ngày nhận được văn bản đề nghị, Ủy ban nhân dân cấp xã được yêu cầu, tiến hành kiểm tra, xác minh và trả lời bằng văn bản về tình trạng hôn nhân trong thời gian thường trú tại địa phương của người có yêu cầu.</w:t>
      </w:r>
    </w:p>
    <w:p>
      <w:pPr>
        <w:spacing w:after="0" w:before="0" w:lineRule="auto" w:line="276"/>
        <w:jc w:val="both"/>
      </w:pPr>
      <w:r>
        <w:rPr>
          <w:rFonts w:ascii="Times New Roman" w:hAnsi="Times New Roman" w:cs="Times New Roman" w:eastAsia="Times New Roman"/>
          <w:b w:val="false"/>
          <w:sz w:val="26"/>
        </w:rPr>
        <w:t>- Nếu kết quả kiểm tra, xác minh cho thấy người yêu cầu có đủ điều kiện, việc cấp Giấy xác nhận tình trạng hôn nhân là phù hợp quy định pháp luật thì công chức tư pháp - hộ tịch trình Chủ tịch Ủy ban nhân dân ký cấp 01 bản Giấy xác nhận tình trạng hôn nhân cho người yêu cầu.</w:t>
      </w:r>
    </w:p>
    <w:p>
      <w:pPr>
        <w:shd w:val="clear" w:color="auto" w:fill="F2F6F9"/>
        <w:spacing w:after="0" w:before="120" w:lineRule="auto" w:line="276"/>
        <w:jc w:val="both"/>
      </w:pPr>
      <w:r>
        <w:rPr>
          <w:rFonts w:ascii="Times New Roman" w:hAnsi="Times New Roman" w:cs="Times New Roman" w:eastAsia="Times New Roman"/>
          <w:b w:val="true"/>
          <w:sz w:val="26"/>
        </w:rPr>
        <w:t>* Lưu ý:</w:t>
      </w:r>
    </w:p>
    <w:p>
      <w:pPr>
        <w:spacing w:after="0" w:before="0" w:lineRule="auto" w:line="276"/>
        <w:jc w:val="both"/>
      </w:pPr>
      <w:r>
        <w:rPr>
          <w:rFonts w:ascii="Times New Roman" w:hAnsi="Times New Roman" w:cs="Times New Roman" w:eastAsia="Times New Roman"/>
          <w:b w:val="false"/>
          <w:sz w:val="26"/>
        </w:rPr>
        <w:t>+ 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 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hd w:val="clear" w:color="auto" w:fill="F2F6F9"/>
        <w:spacing w:after="0" w:before="120" w:lineRule="auto" w:line="276"/>
        <w:jc w:val="both"/>
      </w:pPr>
      <w:r>
        <w:rPr>
          <w:rFonts w:ascii="Times New Roman" w:hAnsi="Times New Roman" w:cs="Times New Roman" w:eastAsia="Times New Roman"/>
          <w:b w:val="true"/>
          <w:sz w:val="26"/>
        </w:rPr>
        <w:t>Trường hợp Nộp hồ sơ trực tuyến trên Cổng Dịch vụ công quốc gia</w:t>
      </w:r>
    </w:p>
    <w:p>
      <w:pPr>
        <w:spacing w:after="0" w:before="0" w:lineRule="auto" w:line="276"/>
        <w:jc w:val="both"/>
      </w:pPr>
      <w:r>
        <w:rPr>
          <w:rFonts w:ascii="Times New Roman" w:hAnsi="Times New Roman" w:cs="Times New Roman" w:eastAsia="Times New Roman"/>
          <w:b w:val="false"/>
          <w:sz w:val="26"/>
        </w:rPr>
        <w:t>Bước 1. Công dân truy cập Cổng Dịch vụ công quốc gia  tại địa chỉ: https://dichvucong.gov.vn/ để nộp hồ sơ trực tuyến (sau đó thanh toán trực tuyến, nhận mã hồ sơ).</w:t>
      </w:r>
    </w:p>
    <w:p>
      <w:pPr>
        <w:spacing w:after="0" w:before="0" w:lineRule="auto" w:line="276"/>
        <w:jc w:val="both"/>
      </w:pPr>
      <w:r>
        <w:rPr>
          <w:rFonts w:ascii="Times New Roman" w:hAnsi="Times New Roman" w:cs="Times New Roman" w:eastAsia="Times New Roman"/>
          <w:b w:val="false"/>
          <w:sz w:val="26"/>
        </w:rPr>
        <w:t>Bước 2. Công chức tại Trung tâm Phục vụ hành chính công cấp xã kiểm tra, tiếp nhận hồ sơ của công dân. Sau đó chuyển hồ sơ đến cơ quan chuyên môn cấp xã có thẩm quyền giải quyết trên Hệ thống thông tin giải quyết thủ tục hành chính của tỉnh.</w:t>
      </w:r>
    </w:p>
    <w:p>
      <w:pPr>
        <w:spacing w:after="0" w:before="0" w:lineRule="auto" w:line="276"/>
        <w:jc w:val="both"/>
      </w:pPr>
      <w:r>
        <w:rPr>
          <w:rFonts w:ascii="Times New Roman" w:hAnsi="Times New Roman" w:cs="Times New Roman" w:eastAsia="Times New Roman"/>
          <w:b w:val="false"/>
          <w:sz w:val="26"/>
        </w:rPr>
        <w:t>Bước 3. Lãnh đạo cơ quan chuyên môn cấp xã có thẩm quyền giải quyết phân công cho chuyên viên tham mưu xử lý hồ sơ.</w:t>
      </w:r>
    </w:p>
    <w:p>
      <w:pPr>
        <w:spacing w:after="0" w:before="0" w:lineRule="auto" w:line="276"/>
        <w:jc w:val="both"/>
      </w:pPr>
      <w:r>
        <w:rPr>
          <w:rFonts w:ascii="Times New Roman" w:hAnsi="Times New Roman" w:cs="Times New Roman" w:eastAsia="Times New Roman"/>
          <w:b w:val="false"/>
          <w:sz w:val="26"/>
        </w:rPr>
        <w:t>Bước 4. Chuyên viên tham mưu xử lý hồ sơ, sau đó trình hồ sơ đến Lãnh đạo cơ quan chuyên môn có thẩm quyền giải quyết để thẩm định.</w:t>
      </w:r>
    </w:p>
    <w:p>
      <w:pPr>
        <w:spacing w:after="0" w:before="0" w:lineRule="auto" w:line="276"/>
        <w:jc w:val="both"/>
      </w:pPr>
      <w:r>
        <w:rPr>
          <w:rFonts w:ascii="Times New Roman" w:hAnsi="Times New Roman" w:cs="Times New Roman" w:eastAsia="Times New Roman"/>
          <w:b w:val="false"/>
          <w:sz w:val="26"/>
        </w:rPr>
        <w:t>Bước 5. Lãnh đạo cơ quan chuyên môn có thẩm quyền giải quyết kiểm tra hồ sơ do chuyên viên trình, thẩm định. Sau đó, trình Lãnh đạo UBND cấp xã ký duyệt hồ sơ.</w:t>
      </w:r>
    </w:p>
    <w:p>
      <w:pPr>
        <w:spacing w:after="0" w:before="0" w:lineRule="auto" w:line="276"/>
        <w:jc w:val="both"/>
      </w:pPr>
      <w:r>
        <w:rPr>
          <w:rFonts w:ascii="Times New Roman" w:hAnsi="Times New Roman" w:cs="Times New Roman" w:eastAsia="Times New Roman"/>
          <w:b w:val="false"/>
          <w:sz w:val="26"/>
        </w:rPr>
        <w:t>Bước 6. Lãnh đạo UBND cấp xã xem xét, ký duyệt kết quả. Sau đó chuyển Văn thư UBND cấp xã để đóng dấu.</w:t>
      </w:r>
    </w:p>
    <w:p>
      <w:pPr>
        <w:spacing w:after="0" w:before="0" w:lineRule="auto" w:line="276"/>
        <w:jc w:val="both"/>
      </w:pPr>
      <w:r>
        <w:rPr>
          <w:rFonts w:ascii="Times New Roman" w:hAnsi="Times New Roman" w:cs="Times New Roman" w:eastAsia="Times New Roman"/>
          <w:b w:val="false"/>
          <w:sz w:val="26"/>
        </w:rPr>
        <w:t>Bước 7. Văn thư UBND cấp xã vào sổ, đóng dấu, số hóa hồ sơ, lưu kết quả điện tử vào Kho dữ liệu công dân và chuyển hồ sơ đến Trung tâm Phục vụ hành chính công cấp xã để trả cho công dân.</w:t>
      </w:r>
    </w:p>
    <w:p>
      <w:pPr>
        <w:spacing w:after="0" w:before="0" w:lineRule="auto" w:line="276"/>
        <w:jc w:val="both"/>
      </w:pPr>
      <w:r>
        <w:rPr>
          <w:rFonts w:ascii="Times New Roman" w:hAnsi="Times New Roman" w:cs="Times New Roman" w:eastAsia="Times New Roman"/>
          <w:b w:val="false"/>
          <w:sz w:val="26"/>
        </w:rPr>
        <w:t>Bước 8. Công chức quầy trả kết quả của Trung tâm Phục vụ hành chính công cấp xã kiểm tra, trả kết quả cho công dân.</w:t>
      </w:r>
    </w:p>
    <w:p>
      <w:pPr>
        <w:spacing w:after="0" w:before="0" w:lineRule="auto" w:line="276"/>
        <w:jc w:val="both"/>
      </w:pPr>
      <w:r>
        <w:rPr>
          <w:rFonts w:ascii="Times New Roman" w:hAnsi="Times New Roman" w:cs="Times New Roman" w:eastAsia="Times New Roman"/>
          <w:b w:val="false"/>
          <w:sz w:val="26"/>
        </w:rPr>
        <w:t>Bước 9. Công dân nhận kết quả tại Trung tâm Phục vụ hành chính công cấp xã và kiểm tra kết quả điện tử trong kho dữ liệu công dân. Sau đó đánh giá hài lòng và kết thúc quy trình.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p>
            <w:pPr>
              <w:spacing w:after="0" w:before="0" w:lineRule="auto" w:line="276"/>
              <w:jc w:val="left"/>
            </w:pPr>
            <w:r>
              <w:rPr>
                <w:rFonts w:ascii="Times New Roman" w:hAnsi="Times New Roman" w:cs="Times New Roman" w:eastAsia="Times New Roman"/>
                <w:b w:val="false"/>
                <w:sz w:val="26"/>
              </w:rPr>
              <w:t xml:space="preserve">Lệ phí : 15.000 đồng/lần </w:t>
            </w:r>
          </w:p>
        </w:tc>
        <w:tc>
          <w:p/>
          <w:p>
            <w:pPr>
              <w:spacing w:after="0" w:before="0" w:lineRule="auto" w:line="276"/>
              <w:jc w:val="left"/>
            </w:pPr>
            <w:r>
              <w:rPr>
                <w:rFonts w:ascii="Times New Roman" w:hAnsi="Times New Roman" w:cs="Times New Roman" w:eastAsia="Times New Roman"/>
                <w:b w:val="false"/>
                <w:sz w:val="26"/>
              </w:rPr>
              <w:t>03 ngày làm việc; trường hợp phải xác minh thì thời hạn giải quyết không quá 23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03 ngày làm việc; trường hợp phải xác minh thì thời hạn giải quyết không quá 23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15.000 đồng/lần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03 ngày làm việc; trường hợp phải xác minh thì thời hạn giải quyết không quá 23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người yêu cầu cấp Giấy xác nhận tình trạng hôn nhân đã có vợ hoặc chồng nhưng đã ly hôn hoặc người vợ/chồng đã chết thì phải xuất trình (bản chính) hoặc nộp bản sao giấy tờ hợp lệ để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Công dân Việt Nam đã ly hôn, hủy việc kết hôn ở nước ngoài thì phải nộp bản sao Trích lục ghi chú ly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cá nhân yêu cầu cấp lại Giấy xác nhận tình trạng hôn nhân để sử dụng vào mục đích khác hoặc do Giấy xác nhận tình trạng hôn nhân đã hết thời hạn sử dụng theo quy định thì phải nộp lại Giấy xác nhận tình trạng hôn nhân đã được cấp trước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cấp Giấy xác nhận tình trạng hôn nhân.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Hộ chiếu/Chứng minh nhân dân/Thẻ căn cước công dân/Thẻ căn cước/Căn cước điện tử/Giấy chứng nhận căn cước hoặc các giấy tờ khác có dán ảnh và thông tin cá nhân do cơ quan có thẩm quyền cấp, còn giá trị sử dụng để chứng minh về nhân thân của người có yêu cầu cấp Giấy xác nhận tình trạng hôn nhân. Trường hợp các thông tin cá nhân trong các giấy tờ này đã có trong CSDLQGVDC, CSDLHTĐT,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xác nhận tình trạng hôn nhân đã từng đăng ký thường trú tại nhiều nơi khác nhau, người yêu cầu cung cấp các giấy tờ chứng minh tình trạng hôn nhân tại nơi thường trú trước đây (nếu có). Trên cơ sở các thông tin được cung cấp, cơ quan đăng ký hộ tịch tra cứu thông tin về tình trạng hôn nhân của người yêu cầu xác nhận tình trạng hôn nhân trên Hệ thống thông tin giải quyết thủ tục hành chính cấp tỉnh thông qua kết nối với Cơ sở dữ liệu hộ tịch điện tử, CSDLQGVDC. Trường hợp không tra cứu được tình trạng hôn nhân do chưa có thông tin trong Cơ sở dữ liệu hộ tịch điện tử, CSDLQGVDC, thì cơ quan đăng ký hộ tịch đề nghị Ủy ban nhân dân cấp xã nơi người yêu cầu thường trú/nơi đã đăng ký kết hôn xác minh, cung cấp thông tin. Trong thời hạn 03 ngày làm việc kể từ ngày nhận được yêu cầu xác minh, Ủy ban nhân dân cấp xã nơi nhận được đề nghị xác minh có trách nhiệm kiểm tra, xác minh và gửi kết quả về tình trạng hôn nhân của người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yêu cầu cấp Giấy xác nhận tình trạng hôn nhân để sử dụng vào mục đích kết hôn thì cơ quan đăng ký hộ tịch chỉ cấp 01 bản cho người            yêu cầu.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yêu cầu cấp Giấy xác nhận tình trạng hôn nhân để sử dụng vào mục đích khác, không phải để đăng ký kết hôn thì trong Giấy xác nhận tình trạng hôn nhân phải ghi rõ mục đích sử dụng, số lượng Giấy xác nhận tình trạng hôn nhân được cấp theo yêu cầu.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yêu cầu cấp Giấy xác nhận tình trạng hôn nhân để kết hôn với người cùng giới tính hoặc kết hôn với người nước ngoài tại Cơ quan đại diện nước ngoài tại Việt Nam thì cơ quan đăng ký hộ tịch từ chối giải quyết.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cung cấp thông tin về giấy tờ hộ tịch của cá nhân đã được đăng ký, cơ quan đăng ký hộ tịch có trách nhiệm tra cứu thông tin trên Hệ thống thông tin giải quyết thủ tục hành chính cấp tỉnh thông qua kết nối với Cơ sở dữ liệu hộ tịch điện tử, CSDLQGVDC. Trường hợp không tra cứu được do không có thông tin trong Cơ sở dữ liệu hộ tịch điện tử, CSDLQGVDC thì cơ quan đăng ký hộ tịch yêu cầu người đi đăng ký hộ tịch nộp/xuất trình giấy tờ liên quan để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cấp Giấy xác nhận tình trạng hôn nhân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cấp Giấy xác nhận tình trạng hôn nhân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cấp Giấy xác nhận tình trạng hôn nhân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19.TKcpGiyXNTTHN.doc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điện tử tương tác cấp Giấy xác nhận tình trạng hôn nhân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19.DTTT-CpgiyXNTThnnhn.doc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cấp Giấy xác nhận tình trạng hôn nhân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hoặc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tình trạng hôn nhân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yêu cầu xác nhận tình trạng hôn nhân nhằm mục đích kết hôn thì người yêu cầu phải đáp ứng đủ điều kiện kết hôn:
- Nam từ đủ 20 tuổi trở lên, nữ từ đủ 18 tuổi trở lên;
- Việc kết hôn do nam và nữ tự nguyện quyết định;
- Không bị mất năng lực hành vi dân sự;
- Việc kết hôn không thuộc một trong các trường hợp cấm kết hôn, gồm:
+ Kết hôn giả tạo, ly hôn giả tạo;
+ Tảo hôn, cưỡng ép kết hôn, lừa dối kết hôn, cản trở kết hôn;
+ Người đang có vợ, có chồng mà kết hôn với người khác hoặc chưa có vợ, chưa có chồng mà kết hôn với người đang có chồng, có vợ;
+ Kết hôn giữa những người cùng dòng máu về trực hệ; giữa những người có họ trong phạm vi ba đời; giữa cha, mẹ nuôi với con nuôi; giữa người đã từng là cha, mẹ nuôi với con nuôi, cha chồng với con dâu, mẹ vợ với con rể, cha dượng với con riêng của vợ, mẹ kế với con riêng của chồng.
- Nhà nước không thừa nhận hôn nhân giữa những người cùng giới tính.
Trường hợp yêu cầu cấp Giấy xác nhận tình trạng hôn nhân để sử dụng vào mục đích khác, không phải để đăng ký kết hôn, thì người yêu cầu không phải đáp ứng điều kiện kết hôn.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2025-11-18T01:12:01Z</dcterms:created>
  <dc:creator>Apache POI</dc:creator>
</cp:coreProperties>
</file>