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Trường hợp hợp tác xã, liên hiệp hợp tác xã bổ sung, cập nhật các thông tin trong hồ sơ đăng ký mà không thuộc các trường hợp đăng ký, thông báo thay đổi nội dung đăng ký hợp tác xã, liên hiệp hợp tác xã quy định tại các Điều 37, 38, 39, 40, 41, 42, 43 và 45 của Nghị định số 92/2024/NĐ-CP thì hợp tác xã, liên hiệp hợp tác xã gửi thông báo bổ sung, cập nhật thông tin đến Trung tâm Phục vụ hành chính công cấp xã. Cơ quan đăng ký kinh doanh cấp xã tiếp nhận thông báo, xem xét cập nhật thông tin vào Cơ sở dữ liệu về đăng ký hợp tác xã. Trường hợp hợp tác xã, liên hiệp hợp tác xã bổ sung, cập nhật các thông tin trên Giấy chứng nhận đăng ký hợp tác xã thì cơ quan đăng ký kinh doanh cấp xã cấp Giấy trong thời hạn 03 ngày làm việc kể từ ngày nhận hồ sơ hợp lệ.</w:t>
      </w:r>
    </w:p>
    <w:p>
      <w:pPr>
        <w:spacing w:after="0" w:before="0" w:lineRule="auto" w:line="276"/>
        <w:jc w:val="both"/>
      </w:pPr>
      <w:r>
        <w:rPr>
          <w:rFonts w:ascii="Times New Roman" w:hAnsi="Times New Roman" w:cs="Times New Roman" w:eastAsia="Times New Roman"/>
          <w:b w:val="false"/>
          <w:sz w:val="26"/>
        </w:rPr>
        <w:t>- Trường hợp thay đổi địa giới hành chính làm thay đổi địa chỉ trụ sở chính của hợp tác xã, liên hiệp hợp tác xã thì hợp tác xã, liên hiệp hợp tác xã không bắt buộc phải thực hiện thủ tục đăng ký thay đổi địa chỉ với cơ quan đăng ký kinh doanh cấp xã. Hợp tác xã, liên hiệp hợp tác xã gửi thông báo bổ sung, cập nhật thông tin đến cơ quan đăng ký kinh doanh cấp xã để được xem xét cấp Giấy chứng nhận đăng ký hợp tác xã đã được cập nhật thông tin về địa chỉ khi có nhu cầu hoặc khi đăng ký thay đổi nội dung đăng ký hợp tác xã, liên hiệp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đề nghị bổ sung, cập nhật thông tin.</w:t>
            </w:r>
          </w:p>
        </w:tc>
        <w:tc>
          <w:p/>
          <w:p>
            <w:pPr>
              <w:spacing w:after="0" w:before="0" w:lineRule="auto" w:line="276"/>
              <w:jc w:val="left"/>
            </w:pPr>
            <w:r>
              <w:rPr>
                <w:rFonts w:ascii="Times New Roman" w:hAnsi="Times New Roman" w:cs="Times New Roman" w:eastAsia="Times New Roman"/>
                <w:b w:val="false"/>
                <w:sz w:val="26"/>
              </w:rPr>
              <w:t>MausoII.4.docx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92/2009/NĐ-CP</w:t>
            </w:r>
          </w:p>
        </w:tc>
        <w:tc>
          <w:p/>
          <w:p>
            <w:pPr>
              <w:spacing w:after="0" w:before="0" w:lineRule="auto" w:line="276"/>
              <w:jc w:val="left"/>
            </w:pPr>
            <w:r>
              <w:rPr>
                <w:rFonts w:ascii="Times New Roman" w:hAnsi="Times New Roman" w:cs="Times New Roman" w:eastAsia="Times New Roman"/>
                <w:b w:val="false"/>
                <w:sz w:val="26"/>
              </w:rPr>
              <w:t>Nghị định số 92/2009/NĐ-CP ngày 22 tháng 10 năm 2009 của Chính phủ về chức danh, số lượng, một số chế độ, chính sách đối với cán bộ, công chức ở xã, phường, thị trấn và những người hoạt động không chuyên trách ở cấp xã;</w:t>
            </w:r>
          </w:p>
        </w:tc>
        <w:tc>
          <w:p/>
          <w:p>
            <w:pPr>
              <w:spacing w:after="0" w:before="0" w:lineRule="auto" w:line="276"/>
              <w:jc w:val="left"/>
            </w:pPr>
            <w:r>
              <w:rPr>
                <w:rFonts w:ascii="Times New Roman" w:hAnsi="Times New Roman" w:cs="Times New Roman" w:eastAsia="Times New Roman"/>
                <w:b w:val="false"/>
                <w:sz w:val="26"/>
              </w:rPr>
              <w:t>22-10-2009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2025-11-18T02:24:02Z</dcterms:created>
  <dc:creator>Apache POI</dc:creator>
</cp:coreProperties>
</file>