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thẩm định nộp 01 bộ hồ sơ đề nghị thẩm định Báo cáo nghiên cứu khả thi đầu tư xây dựng/ Báo cáo nghiên cứu khả thi đầu tư xây dựng điều chỉnh đến Trung tâm Phục vụ hành chính công tỉnh Điện Biên hoặc Trung tâm Phục vụ hành chính công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quá 01 lần) và có văn bản gửi người đề nghị thẩm định về các lỗi, sai sót về thông tin, số liệu trong nội dung hồ sơ dẫn đến không thể đưa ra kết luận thẩm định.
Trong thời hạn 20 ngày kể từ ngày nhận được yêu cầu của cơ quan chuyên môn về xây dựng, nếu người đề nghị thẩm định không thực hiện việc bổ sung, khắc phục hồ sơ theo yêu cầu thì cơ quan chuyên môn về xây dựng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hạn không quá, 35 ngày (đối với dự án nhóm A), 25 ngày (đối với dự án nhóm B), 15 ngày (đối với dự án nhóm C) kể từ ngày nhận đủ hồ sơ hợp lệ, cơ quan chuyên môn về xây dựng ra văn bản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trưởng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trưởng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Báo cáo nghiên cứu khả thi đầu tư xây dựng/ Báo cáo nghiên cứu khả thi đầu tư xây dựng điều chỉnh theo Mẫu số 01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TotrinhthamdinhBaoconghiencuukhathidautuxaydung-Baocaonghiencuukhathidautuxaydungdieuchinh.docx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 về chủ trương đầu tư xây dựng công trình (đối với các dự án thuộc diện phải có quyết định/chấp thuận chủ trương đầu tư theo quy định pháp luật về đầu tư, đầu tư công, đầu tư theo phương thức đối tác công tư) hoặc quyết định phê duyệt Đề án du lịch sinh thái, nghỉ dưỡng, giải trí trong rừng đối với dự án du lịch sinh thái, nghỉ dưỡng, giải trí trong rừng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đầu tư, Giấy chứng nhận ưu đãi đầu tư, Giấy chứng nhận đầu tư, Giấy chứng nhận đăng ký đầu tư; Quyết định phê duyệt kết quả trúng đấu giá quyền sử dụng đất, trúng đấu thầu dự án có sử dụng đất đối với dự án thuộc trường hợp được chuyển tiếp theo quy định pháp luật về đầu tư không có yêu cầu phải thực hiện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lựa chọn phương án thiết kế kiến trúc thông qua thi tuyển và bản vẽ kèm theo (nếu có yêu cầu thi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bản/quyết định phê duyệt và bản đồ, bản vẽ kèm theo (nếu có) của quy hoạch sử dụng làm căn cứ lập dự án theo quy định tại khoản 2 Điều 13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Các văn bản thỏa thuận, xác nhận về đấu nối hạ tầng kỹ thuật của dự án; văn bản chấp thuận độ cao công trình theo quy định của Chính phủ về quản lý độ cao chướng ngại vật hàng không và các trận địa quản lý, bảo vệ vùng trời tại Việt Nam (trường hợp dự án không thuộc khu vực hoặc đối tượng có yêu cầu lấy ý kiến thống nhất về bề mặt quản lý độ cao công trình tại giai đoạn phê duyệt quy hoạch xây dựng)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bản/quyết định phê duyệt và các bản vẽ có liên quan hoặc trích lục phần bản vẽ có liên quan (nếu có) của quy hoạch được sử dụng làm căn cứ lập quy hoạch quy định tại điểm d khoản 2 Điều 17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kết quả thẩm định báo cáo đánh giá tác động môi trường hoặc giấy phép môi trường theo quy định của pháp luật về bảo vệ môi trường (nếu có yêu cầu theo quy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 tục về bảo vệ môi trường được thực hiện theo nguyên tắc đồng thời, không yêu cầu bắt buộc xuất trình các văn bản này tại thời điểm trình hồ sơ thẩm định, nhưng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dựng được phê duyệt; thuyết minh Báo cáo nghiên cứu khả thi đầu tư xây dựng; thiết kế cơ sở hoặc thiết kế khác theo thông lệ quốc tế phục vụ lập Báo cáo nghiên cứu khả thi đầu tư xây dựng (gồm bản vẽ và thuyết minh); danh mục tiêu chuẩn chủ yếu áp dụng cho dự án; Báo cáo kết quả thẩm tra thiết kế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nhà thầu kèm theo mã số chứng chỉ năng lực của nhà thầu khảo sát, nhà thầu lập thiết kế cơ sở, nhà thầu thẩm tra (nếu có); mã số chứng chỉ hành nghề hoạt động xây dựng của các chức danh chủ nhiệm khảo sát xây dựng; chủ nhiệm, chủ trì các bộ môn thiết kế, lập tổng mức đầu tư; chủ nhiệm, chủ trì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dự án sử dụng vốn đầu tư công, vốn nhà nước ngoài đầu tư công, ngoài các nội dung quy định nêu trên, hồ sơ trình thẩm định phải có các nội dung sau: tổng mức đầu tư; các thông tin, số liệu có liên quan về giá, định mức, báo giá, kết quả thẩm định giá (nếu có) để xác định tổng mức đầu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sửa chữa, cải tạo, hồ sơ trình thẩm định còn phải có các nội dung: Hồ sơ khảo sát hiện trạng, Báo cáo kiểm định của tổ chức kiểm định xây dựng đánh giá về khả năng chịu lực của công trình (trường hợp nội dung sửa chữa, cải tạo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hồ sơ nêu trên, đối với dự án có quy mô từ nhóm B trở lên mà có công trình xây dựng mới từ cấp II trở lên, người đề nghị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trình thẩm định Báo cáo nghiên cứu khả thi đầu tư xây dựng điều chỉnh, ngoài các thành phần hồ sơ nêu trên còn phải làm rõ các nội dung sau: + Lý do, mục tiêu điều chỉnh dự án, việc đáp ứng điều kiện điều chỉnh dự án theo pháp luật có liên quan đối với dự án đầu tư xây dựng sử dụng vốn đầu tư công, vốn nhà nước ngoài đầu tư công, dự án PPP; + Báo cáo của chủ đầu tư về quá trình thực hiện dự án, tình hình thực tế thi công các công trình xây dựng của dự án đến thời điểm đề xuất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84/2024/NĐ-CP</w:t>
            </w:r>
          </w:p>
        </w:tc>
        <w:tc>
          <w:p/>
          <w:p>
            <w:pPr>
              <w:spacing w:after="0" w:before="0" w:lineRule="auto" w:line="276"/>
              <w:jc w:val="left"/>
            </w:pPr>
            <w:r>
              <w:rPr>
                <w:rFonts w:ascii="Times New Roman" w:hAnsi="Times New Roman" w:cs="Times New Roman" w:eastAsia="Times New Roman"/>
                <w:b w:val="false"/>
                <w:sz w:val="26"/>
              </w:rPr>
              <w:t>về thí điểm phân cấp quản lý nhà nước một số lĩnh vực cho chính quyền Thành phố Hồ Chí Minh.</w:t>
            </w:r>
          </w:p>
        </w:tc>
        <w:tc>
          <w:p/>
          <w:p>
            <w:pPr>
              <w:spacing w:after="0" w:before="0" w:lineRule="auto" w:line="276"/>
              <w:jc w:val="left"/>
            </w:pPr>
            <w:r>
              <w:rPr>
                <w:rFonts w:ascii="Times New Roman" w:hAnsi="Times New Roman" w:cs="Times New Roman" w:eastAsia="Times New Roman"/>
                <w:b w:val="false"/>
                <w:sz w:val="26"/>
              </w:rPr>
              <w:t>10-07-2024</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65/2025/QĐ-UBND</w:t>
            </w:r>
          </w:p>
        </w:tc>
        <w:tc>
          <w:p/>
          <w:p>
            <w:pPr>
              <w:spacing w:after="0" w:before="0" w:lineRule="auto" w:line="276"/>
              <w:jc w:val="left"/>
            </w:pPr>
            <w:r>
              <w:rPr>
                <w:rFonts w:ascii="Times New Roman" w:hAnsi="Times New Roman" w:cs="Times New Roman" w:eastAsia="Times New Roman"/>
                <w:b w:val="false"/>
                <w:sz w:val="26"/>
              </w:rPr>
              <w:t>Quyết định Ban hành quy định phân công, phân cấp về thẩm định Báo cáo nghiên cứu khả thi, Báo cáo kinh tế - kỹ thuật và thiết kế xây dựng triển khai sau thiết kế cơ sở của dự án đầu tư xây dựng trên địa bàn tỉnh Điện Biên</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17 Nghị định số 175/2024/NĐ-CP ngày 30/12/2024 của Chính phủ quy định chi tiết một số điều và biện pháp thi hành Luật Xây dựng về quản lý hoạt động xây dựng, đúng quy cách theo quy định tại Điều 37 Nghị định số 175/2024/NĐ-CP ngày 30/12/2024 của Chính phủ quy định chi tiết một số điều và biện pháp thi hành Luật Xây dựng về quản lý hoạt động xây dựng,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2025-11-18T01:24:36Z</dcterms:created>
  <dc:creator>Apache POI</dc:creator>
</cp:coreProperties>
</file>