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toán tiền cấp quyền khai thác khoáng sản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đề nghị quyết toán tiền cấp quyền khai thác khoáng sản:
Người sử dụng đất thực hiện cải tạo, xây dựng công trình trên đất ở, đất nông nghiệp được phép thu hồi khoáng sản nhóm III, nhóm IV từ hoạt động cải tạo, xây dựng công trình trên đất ở, đất nông nghiệp đề nghị quyết toán tiền cấp quyền khai thác khoáng sản nộp hồ sơ đến Trung tâm Phục vụ hành chính công cấp xã (cơ quan quyết toán tiền cấp quyền khai thác khoáng sản) thông qua một trong các hình thức gửi trực tiếp, qua đường bưu điện hoặc bản điện tử thông qua hệ thống dịch vụ công trực tuyến trong vòng 30 ngày, kể từ thời điểm giấy xác nhận đăng ký thu hồi khoáng sản, văn bản chấp thuận, cho phép thu hồi khoáng sản hết hiệu lực.
- Bước 2. Kiểm tra hồ sơ:
Cơ quan quyết toán tiền cấp quyền khai thác khoáng sản xem xét, kiểm tra tính đầy đủ của hồ sơ.
Trường hợp hồ sơ hợp lệ, cơ quan quyết toán tiền cấp quyền khai thác khoáng sản tiếp nhận hồ sơ theo quy định. Trường hợp hồ sơ chưa đầy đủ thành phần thì không tiếp nhận hồ sơ và nêu rõ lý do không tiếp nhận trong phiếu yêu cầu bổ sung, hoàn thiện hồ sơ theo quy định của Chính phủ về việc tiếp nhận hồ sơ thủ tục hành chính.
Trường hợp phải bổ sung, hoàn thiện hồ sơ đề nghị quyết toán tiền cấp quyền khai thác khoáng sản, cơ quan quyết toán tiền cấp quyền khai thác khoáng sản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phát sinh nội dung yêu cầu mới. Thời gian tổ chức, cá nhân bổ sung, hoàn thiện hồ sơ không tính vào thời gian quyết toán tiền cấp quyền khai thác khoáng sản theo quy định.
Trường hợp sau khi bổ sung, hoàn thiện lại mà hồ sơ đề nghị quyết toán tiền cấp quyền khai thác khoáng sản vẫn không đáp ứng yêu cầu theo quy định, cơ quan quyết toán tiền cấp quyền khai thác khoáng sản dừng quyết toán và trả lại hồ sơ đề nghị quyết toán tiền cấp quyền khai thác khoáng sản. Tổ chức, cá nhân thuộc trường hợp này được quyền nộp lại hồ sơ nhưng sẽ được tính là hồ sơ nộp mới.
- Bước 3. Quyết toán tiền cấp quyền khai thác khoáng sản:
+ Trong vòng 90 ngày kể từ ngày nhận đủ hồ sơ đề nghị quyết toán tiền cấp quyền khai thác khoáng sản hợp lệ, cơ quan quyết toán tiền cấp quyền khai thác khoáng sản có trách nhiệm quyết toán tiền cấp quyền khai thác khoáng sản đối với trường hợp quyết toán khi giấy xác nhận đăng ký thu hồi khoáng sản, văn bản chấp thuận, cho phép thu hồi khoáng sản hết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90 ngày kể từ ngày nhận đủ hồ sơ đề nghị quyết toán tiền cấp quyền khai thác khoáng sản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90 ngày kể từ ngày nhận đủ hồ sơ đề nghị quyết toán tiền cấp quyền khai thác khoáng sản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90 ngày kể từ ngày nhận đủ hồ sơ đề nghị quyết toán tiền cấp quyền khai thác khoáng sản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thông tin quyết toán tiền cấp quyền khai thác khoáng sản (Mẫu số 05 - Phụ lục II ban hành kèm theo Thông tư số 38/2025/TT-BNNMT ngày 02/7/2025)</w:t>
            </w:r>
          </w:p>
        </w:tc>
        <w:tc>
          <w:p/>
          <w:p>
            <w:pPr>
              <w:spacing w:after="0" w:before="0" w:lineRule="auto" w:line="276"/>
              <w:jc w:val="left"/>
            </w:pPr>
            <w:r>
              <w:rPr>
                <w:rFonts w:ascii="Times New Roman" w:hAnsi="Times New Roman" w:cs="Times New Roman" w:eastAsia="Times New Roman"/>
                <w:b w:val="false"/>
                <w:sz w:val="26"/>
              </w:rPr>
              <w:t>Mauso05_Bankekhaithongtinquyettoan.doc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thống kê, kiểm kê trữ lượng, khối lượng khoáng sản đã khai thác, trữ lượng, khối lượng khoáng sản được phép khai thác còn lại hàng năm trong kỳ quyết toán: Báo cáo định kỳ hoạt động khai thác khoáng sản  nhóm I, nhóm II và nhóm III hoặc Báo cáo định kỳ hoạt động khai thác khoáng sản nhóm IV hoặc Báo cáo định kỳ hoạt động khai thác tận thu khoáng sản hoặc Báo cáo định kỳ hoạt động thu hồi khoáng sản</w:t>
            </w:r>
          </w:p>
        </w:tc>
        <w:tc>
          <w:p/>
          <w:p>
            <w:pPr>
              <w:spacing w:after="0" w:before="0" w:lineRule="auto" w:line="276"/>
              <w:jc w:val="left"/>
            </w:pPr>
            <w:r>
              <w:rPr>
                <w:rFonts w:ascii="Times New Roman" w:hAnsi="Times New Roman" w:cs="Times New Roman" w:eastAsia="Times New Roman"/>
                <w:b w:val="false"/>
                <w:sz w:val="26"/>
              </w:rPr>
              <w:t>Mauso08_BCdinhkythuhoiKS.doc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quyết toán tiền cấp quyền khai thác khoáng sản (Mẫu số 04 - Phụ lục II ban hành kèm theo Thông tư số 38/2025/TT-BNNMT ngày 02/7/2025)</w:t>
            </w:r>
          </w:p>
        </w:tc>
        <w:tc>
          <w:p/>
          <w:p>
            <w:pPr>
              <w:spacing w:after="0" w:before="0" w:lineRule="auto" w:line="276"/>
              <w:jc w:val="left"/>
            </w:pPr>
            <w:r>
              <w:rPr>
                <w:rFonts w:ascii="Times New Roman" w:hAnsi="Times New Roman" w:cs="Times New Roman" w:eastAsia="Times New Roman"/>
                <w:b w:val="false"/>
                <w:sz w:val="26"/>
              </w:rPr>
              <w:t>Mauso04_VBdenghiquyettoantiencapquyenKTKS.doc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quyết toán tiền cấp quyền khai thác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2025-11-18T00:49:54Z</dcterms:created>
  <dc:creator>Apache POI</dc:creator>
</cp:coreProperties>
</file>