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đề nghị quyết định chuyển mục đích sử dụng rừng sang mục đích khác hoặc có dự án đã được Hội đồng nhân dân cấp tỉnh chấp thuận hoặc quyết định chủ trương đầu tư dự án có thay đổi về quy mô diện tích rừng cần chuyển mục đích sử dụng sang mục đích khác nhưng không thuộc trường hợp phải điều chỉnh chủ trương đầu tư dự án theo quy định của Luật Đầu tư, Luật Đầu tư công, Luật Đầu tư theo phương thức đối tác công tư, Luật Dầu khí gửi trực tiếp hoặc qua dịch vụ bưu chính hoặc qua môi trường điện tử 01 bộ hồ sơ đến Trung tâm phục vụ hành chính công cấp xã nơi có diện tích rừng đề nghị chuyển mục đích sử dụng.</w:t>
      </w:r>
    </w:p>
    <w:p>
      <w:pPr>
        <w:spacing w:after="0" w:before="0" w:lineRule="auto" w:line="276"/>
        <w:jc w:val="both"/>
      </w:pPr>
      <w:r>
        <w:rPr>
          <w:rFonts w:ascii="Times New Roman" w:hAnsi="Times New Roman" w:cs="Times New Roman" w:eastAsia="Times New Roman"/>
          <w:b w:val="false"/>
          <w:sz w:val="26"/>
        </w:rPr>
        <w:t>b) Bước 2: Trình Ủy ban nhân dân cấp xã
Trong thời gian 10 ngày kể từ ngày nhận được đề nghị quyết định chuyển mục đích sử dụng rừng của cá nhân, Cơ quan chuyên môn về lâm nghiệp cấp huyện lập Tờ trình đề nghị Ủy ban nhân dân cấp xã quyết định chuyển mục đích sử dụng rừng sang mục đích khác. 
Trường hợp hồ sơ không hợp lệ, trong thời hạn 03 ngày làm việc kể từ ngày nhận được hồ sơ, Cơ quan chuyên môn về lâm nghiệp cấp huyện có văn bản trả lời và nêu rõ lý do.</w:t>
      </w:r>
    </w:p>
    <w:p>
      <w:pPr>
        <w:spacing w:after="0" w:before="0" w:lineRule="auto" w:line="276"/>
        <w:jc w:val="both"/>
      </w:pPr>
      <w:r>
        <w:rPr>
          <w:rFonts w:ascii="Times New Roman" w:hAnsi="Times New Roman" w:cs="Times New Roman" w:eastAsia="Times New Roman"/>
          <w:b w:val="false"/>
          <w:sz w:val="26"/>
        </w:rPr>
        <w:t>c) Bước 3: Quyết định
Trong thời gian 10 ngày kể từ ngày nhận được Tờ trình và hồ sơ của phòng chuyên môn, Ủy ban nhân cấp xã ban hành quyết định chuyển mục đích sử dụng rừng sang mục đích khác.
Trường hợp không quyết định chuyển mục đích sử dụng rừng sang mục đích khác, trong thời gian 05 ngày kể từ ngày nhận được Tờ trình và hồ sơ của Cơ quan chuyên môn,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của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chuyển mục đích sử dụng rừng sang mục đích khác theo Mẫu số 02 Phụ lục I ban hành kèm theo Thông tư số 16/2025/TT-BNNMT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chủ trương chuyển mục đích sử dụng rừng sang mục đích khác của cấp có thẩm quyền hoặc bản sao quyết định chủ trương chuyển mục đích sử dụng rừng sang mục đích khác của cấp có thẩm quyền hoặc bản sao văn bản chấp thuận, quyết định chủ trương đầu tư đối với dự án quy định tại điểm a khoản 4 Điều 41 Nghị định số 156/2018/NĐ-CP được sửa đổi, bổ sung tại khoản 21 Điều 1 Nghị định số 91/2024/NĐ-CP;.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trồng rừng thay thế được cấp có thẩm quyền phê duyệt hoặc thông báo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trình,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quyết định chuyển mục đích sử dụng rừng sang mục đích khác theo Mẫu số 03 Phụ lục I ban hành kèm theo Thông tư số 16/2025/TT-BNNMT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chuyển mục đích sử dụng rừng sang mục đích khác theo Mẫu số 02 Phụ lục I ban hành kèm theo Thông tư số 16/2025/TT-BNNMT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chủ trương chuyển mục đích sử dụng rừng sang mục đích khác của cấp có thẩm quyền hoặc bản sao quyết định chủ trương chuyển mục đích sử dụng rừng sang mục đích khác của cấp có thẩm quyền hoặc bản sao văn bản chấp thuận, quyết định chủ trương đầu tư đối với dự án quy định tại điểm a khoản 4 Điều 41 Nghị định số 156/2018/NĐ-CP được sửa đổi, bổ sung tại khoản 21 Điều 1 Nghị định số 91/2024/NĐ-CP...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trồng rừng thay thế được cấp có thẩm quyền phê duyệt hoặc thông báo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 theo Mẫu số 04 Phụ lục I ban hành kèm theo Thông tư số 16/2025/TT-BNNMT ngày 19/6/2025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2025-11-18T01:29:02Z</dcterms:created>
  <dc:creator>Apache POI</dc:creator>
</cp:coreProperties>
</file>