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1.012922.000.00.00.H18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1514/QĐ-UBND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Lập biên bản kiểm tra hiện trường xác định nguyên nhân, mức độ thiệt hại rừng trồng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tiếp nhận hồ sơ
Trong thời hạn 03 ngày làm việc kể từ ngày kết thúc đợt thiên tai, dịch bệnh, tổ chức gửi 01 bộ hồ sơ đến Trung tâm phục vụ hành chính công cấp xã.
b) Bước 2: Tổ chức kiểm tra hiện trường 
Trong thời hạn 05 ngày làm việc, kể từ ngày nhận được văn bản đề nghị, cơ quan chuyên môn cấp xã tổ chức kiểm tra hiện trường để xác định nguyên nhân, mức độ thiệt hại rừng trồng. 
Thành phần đoàn kiểm tra hiện trường gồm đại diện: Ủy ban nhân dân cấp xã nơi có rừng bị thiệt hại; chủ rừng hoặc chủ đầu tư dự án có rừng bị thiệt hại; cơ quan chuyên môn cấp huyện xác định nguyên nhân (cơ quan phòng chống thiên tai đối với các nguyên nhân: Do thiên tai theo quy định của pháp luật về phòng chống thiên tai, gồm: bão, áp thấp nhiệt đới, gió mạnh trên biển, lốc, sét, mưa lớn, lũ, lũ quét, ngập lụt; sạt lở đất, sụt lún đất do mưa lũ hoặc dòng chảy hoặc hạn hán; nước dâng, xâm nhập mặn, nắng nóng, hạn hán, cháy rừng do tự nhiên, rét hại, mưa đá, sương mù, sương muối, động đất, sóng thần và các loại thiên tai, sự cố, thảm họa khác hoặc cơ quan thực hiện nhiệm vụ bảo vệ thực vật đối với các nguyên nhân do dịch sâu, bệnh và sinh vật khác gây hại rừng (nếu có).
c) Bước 3: Lập Biên bản kiểm tra hiện trường
Kết quả kiểm tra hiện trường được cơ quan chuyên môn cấp xã lập thành biên bản theo Mẫu số 02 tại Phụ lục ban hành kèm theo Nghị định số 140/2024/NĐ-CP ngày 25/10/2024 của Chính phủ quy định thanh lý rừng trồng.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xác nhận theo Mẫu số 01 tại Phụ lục ban hành kèm theo Nghị định số 140/2024/NĐ-CP ngày 25/10/2024 của Chính phủ quy định thanh lý rừng trồng.</w:t>
            </w:r>
          </w:p>
        </w:tc>
        <w:tc>
          <w:p/>
          <w:p>
            <w:pPr>
              <w:spacing w:after="0" w:before="0" w:lineRule="auto" w:line="276"/>
              <w:jc w:val="left"/>
            </w:pPr>
            <w:r>
              <w:rPr>
                <w:rFonts w:ascii="Times New Roman" w:hAnsi="Times New Roman" w:cs="Times New Roman" w:eastAsia="Times New Roman"/>
                <w:b w:val="false"/>
                <w:sz w:val="26"/>
              </w:rPr>
              <w:t>Mẫu số 01.NĐ140.2024.doc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kiểm tra hiện trường xác định nguyên nhân, thiệt hại rừng trồng theo Mẫu số 02 tại Phụ lục ban hành kèm theo Nghị định số 140/2024/NĐ-CP ngày 25/10/2024 của Chính phủ quy định thanh lý rừng trồng.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140/2024/NĐ-CP</w:t>
            </w:r>
          </w:p>
        </w:tc>
        <w:tc>
          <w:p/>
          <w:p>
            <w:pPr>
              <w:spacing w:after="0" w:before="0" w:lineRule="auto" w:line="276"/>
              <w:jc w:val="left"/>
            </w:pPr>
            <w:r>
              <w:rPr>
                <w:rFonts w:ascii="Times New Roman" w:hAnsi="Times New Roman" w:cs="Times New Roman" w:eastAsia="Times New Roman"/>
                <w:b w:val="false"/>
                <w:sz w:val="26"/>
              </w:rPr>
              <w:t>Quy định về thanh lý rừng trồng.</w:t>
            </w:r>
          </w:p>
        </w:tc>
        <w:tc>
          <w:p/>
          <w:p>
            <w:pPr>
              <w:spacing w:after="0" w:before="0" w:lineRule="auto" w:line="276"/>
              <w:jc w:val="left"/>
            </w:pPr>
            <w:r>
              <w:rPr>
                <w:rFonts w:ascii="Times New Roman" w:hAnsi="Times New Roman" w:cs="Times New Roman" w:eastAsia="Times New Roman"/>
                <w:b w:val="false"/>
                <w:sz w:val="26"/>
              </w:rPr>
              <w:t>25-10-2024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2025-11-18T01:33:03Z</dcterms:created>
  <dc:creator>Apache POI</dc:creator>
</cp:coreProperties>
</file>