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1514/QĐ-UBND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tín dụng đầu tư trồng rừng gỗ lớn đối với chủ rừng là hộ gia đình,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Chủ rừng nộp trực tiếp hoặc qua dịch vụ bưu chính hoặc qua môi trường điện tử 01 bộ hồ sơ đến Trung tâm phục vụ hành chính công cấp xã.
Trường hợp hồ sơ không hợp lệ, Ủy ban nhân dân cấp xã có trách nhiệm trả lời bằng văn bản cho chủ rừng trong thời hạn 02 ngày làm việc kể từ ngày nhận được hồ sơ.</w:t>
      </w:r>
    </w:p>
    <w:p>
      <w:pPr>
        <w:spacing w:after="0" w:before="0" w:lineRule="auto" w:line="276"/>
        <w:jc w:val="both"/>
      </w:pPr>
      <w:r>
        <w:rPr>
          <w:rFonts w:ascii="Times New Roman" w:hAnsi="Times New Roman" w:cs="Times New Roman" w:eastAsia="Times New Roman"/>
          <w:b w:val="false"/>
          <w:sz w:val="26"/>
        </w:rPr>
        <w:t>b) Bước 2: 
Trong thời hạn 20 ngày, kể từ khi nhận được hồ sơ hợp lệ, Ủy ban nhân dân cấp xã chủ trì, phối hợp với các cơ quan có liên quan tổ chức xác minh hồ sơ đề nghị hỗ trợ lãi suất và lập biên bản xác minh điều kiện hỗ trợ lãi suất tín dụng, trình Ủy ban nhân dân cấp tỉnh quyết định.
Trường hợp không hỗ trợ, Ủy ban nhân dân cấp tỉnh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hỗ trợ lãi suất vay vốn ngân hàng theo Mẫu số 03 Phụ lục kèm theo Nghị định số 58/2024/NĐ-CP ngày 24/5/2024 của Chính phủ;</w:t>
            </w:r>
          </w:p>
        </w:tc>
        <w:tc>
          <w:p/>
          <w:p>
            <w:pPr>
              <w:spacing w:after="0" w:before="0" w:lineRule="auto" w:line="276"/>
              <w:jc w:val="left"/>
            </w:pPr>
            <w:r>
              <w:rPr>
                <w:rFonts w:ascii="Times New Roman" w:hAnsi="Times New Roman" w:cs="Times New Roman" w:eastAsia="Times New Roman"/>
                <w:b w:val="false"/>
                <w:sz w:val="26"/>
              </w:rPr>
              <w:t>Mẫu số 03.NĐ58.2024.doc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thiết kế trồng rừng, chăm sóc năm thứ nhất theo Mẫu số 04 Phụ lục kèm theo Nghị định số 58/2024/NĐ-CP ngày 24/5/2024 của Chính phủ;</w:t>
            </w:r>
          </w:p>
        </w:tc>
        <w:tc>
          <w:p/>
          <w:p>
            <w:pPr>
              <w:spacing w:after="0" w:before="0" w:lineRule="auto" w:line="276"/>
              <w:jc w:val="left"/>
            </w:pPr>
            <w:r>
              <w:rPr>
                <w:rFonts w:ascii="Times New Roman" w:hAnsi="Times New Roman" w:cs="Times New Roman" w:eastAsia="Times New Roman"/>
                <w:b w:val="false"/>
                <w:sz w:val="26"/>
              </w:rPr>
              <w:t>Mẫu số 04.NĐ58.2024.doc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tín dụng đã ký giữa chủ rừng và ngân hàng thương mại.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tín dụng của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58/2024/NĐ-CP</w:t>
            </w:r>
          </w:p>
        </w:tc>
        <w:tc>
          <w:p/>
          <w:p>
            <w:pPr>
              <w:spacing w:after="0" w:before="0" w:lineRule="auto" w:line="276"/>
              <w:jc w:val="left"/>
            </w:pPr>
            <w:r>
              <w:rPr>
                <w:rFonts w:ascii="Times New Roman" w:hAnsi="Times New Roman" w:cs="Times New Roman" w:eastAsia="Times New Roman"/>
                <w:b w:val="false"/>
                <w:sz w:val="26"/>
              </w:rPr>
              <w:t>Nghị định số 58/2024/NĐ-CP ngày 24/5/2024 của Chính phủ về một số chính sách đầu tư trong lâm nghiệp.</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đất trồng rừng sản xuất được cấp có thẩm quyền giao đất, cho thuê đất hoặc được cấp giấy chứng nhận quyền sử dụng đất hoặc đã sử dụng đất ổn định theo quy định của pháp luật về đất đai, không có tranh chấp; 
- Chưa được hỗ trợ lãi suất từ ngân sách nhà nước, hỗ trợ từ các chính sách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2025-11-18T01:32:59Z</dcterms:created>
  <dc:creator>Apache POI</dc:creator>
</cp:coreProperties>
</file>