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xml:space="preserve"> Phòng giáo dục và đào tạo, phòng lao động - thương binh và xã hội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Giáo dục và Đào tạo; học sinh, sinh viên học tại khoa, trường dự bị đại học, các cơ sở giáo dục đại học nộp đơn đề nghị hỗ trợ học tập cho Phòng Lao động - Thương binh và Xã hội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Phòng Giáo dục và Đào tạo, Phòng Lao động - Thương binh và Xã hội có trách nhiệm tổ chức xem xét đơn, lập và phê duyệt danh sách đối tượng được hưởng, niêm yết công khai danh sách đối tượng được hưởng chính sách và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Thương Binh và Xã hội,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 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2025-11-18T01:03:03Z</dcterms:created>
  <dc:creator>Apache POI</dc:creator>
</cp:coreProperties>
</file>