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1.001731.000.00.00.H18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cho đối tượng bảo trợ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cơ quan, đơn vị tổ chức mai táng cho đối tượng làm hồ sơ theo quy định,  nộp tại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Trong thời hạn 02 ngày làm việc, kể từ ngày nhận đủ hồ sơ, Chủ tịch Ủy ban nhân dân cấp xã có văn bản đề nghị kèm theo hồ sơ của đối tượng gửi Phòng Y tế.</w:t>
      </w:r>
    </w:p>
    <w:p>
      <w:pPr>
        <w:spacing w:after="0" w:before="0" w:lineRule="auto" w:line="276"/>
        <w:jc w:val="both"/>
      </w:pPr>
      <w:r>
        <w:rPr>
          <w:rFonts w:ascii="Times New Roman" w:hAnsi="Times New Roman" w:cs="Times New Roman" w:eastAsia="Times New Roman"/>
          <w:b w:val="false"/>
          <w:sz w:val="26"/>
        </w:rPr>
        <w:t>- Bước 3: Trong thời hạn 03 ngày làm việc, kể từ ngày nhận văn bản Chủ tịch Ủy ban nhân dân cấp xã  quyết định hỗ trợ chi phí mai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của cơ quan, tổ  chức, hộ gia đình hoặc cá nhân đứng ra tổ chức mai táng cho đối tượng (theo Mẫu số 04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giấy báo tử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hoặc danh sách thôi hưởng trợ  cấp bảo hiểm xã hội, trợ cấp khác của cơ quan có thẩm quyền đối với trường hợp người từ đủ 80 tuổi đang hưởng trợ cấp tuất bảo hiểm xã hội hàng tháng, trợ cấp hàng tháng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đối tượng khi chết được hỗ trợ chi phí mai táng:
- Đối tượng quy định tại Điều 5 Nghị định số 20/2021/NĐ-CP đang hưởng trợ cấp xã hội hàng tháng.
- Con của người đơn thân nghèo đang nuôi con quy định tại khoản 4 Điều 5 Nghị định số 20/2021/NĐ-CP.
- Người từ đủ 80 tuổi đang hưởng trợ cấp tuất bảo hiểm xã hội hàng tháng, trợ cấp hàng tháng khác.
- Hộ gia đình có người chết, mất tích do thiên tai, hỏa hoạn, dịch bệnh; tai nạn giao thông, tai nạn lao động nghiêm trọng hoặc các lý do bất khả kháng khác.
- Cơ quan, tổ chức, cá nhân tổ chức mai táng cho người chết quy định tại khoản 1 Điều 14 nghị định số 20/2021/NĐ-CP do không có người nhận trách nhiệm tổ chức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2025-11-18T00:35:21Z</dcterms:created>
  <dc:creator>Apache POI</dc:creator>
</cp:coreProperties>
</file>