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1.013743.H18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đối với quân nhân, cán bộ đi chiến trường B,C,K trong thời kỳ chống Mỹ cứu nước không có thân nhân phải trực tiếp nuôi dưỡng và quân nhân, cán bộ được đảng cử ở lại miền Nam hoạt động sau Hiệp định Giơnevơ năm 1954 đối với cán bộ, sỹ quan thuộc lực lượng vũ trang (công an, quân đội)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được hưởng làm bản khai theo Mẫu số 03 Phụ lục I ban hành kèm theo Thông tư số 09/2025/TT-BNV ngày 18/6/2025 của Bộ trưởng Bộ Nội vụ quy định về phân định thẩm quyền và phân cấp thực hiện nhiệm vụ quản lý nhà nước trong lĩnh vực nội vụ (sau đây gọi tắt là Thông tư số 09/2025/TT-BNV). 
Riêng đối với người đã từ trần hoặc hy sinh thì đại diện thân nhân làm tờ khai theo Mẫu số 04 Phụ lục I kèm theo Thông tư số 09/2025/TT-BNV.
Bản kê khai phải có sự chứng nhận của cơ quan nơi người đó công tác nếu còn đang làm việc hoặc chứng nhận của Ủy ban nhân dân cấp xã về nơi cư trú đối với đối tượng còn lại. Sau đó đối tượng nộp bản khai cá nhân cho các cơ quan tiếp nhận theo quy định sau:
+ Nếu đang làm việc thì nộp cho đơn vị đang công tác; 
+ Nếu là quân nhân đã nghỉ hưu, nghỉ mất sức lao động, nghỉ bệnh binh, tai nạn lao động, bệnh nghề nghiệp, xuất ngũ, chuyển ngành thì nộp cho Ban Chỉ huy quân sự cấp xã; 
+ Nếu là Công an nhân dân đã nghỉ hưu, nghỉ mất sức lao động, nghỉ bệnh binh, tai nạn lao động, bệnh nghề nghiệp, xuất ngũ, chuyển ngành thì nộp cho Công an cấp xã.
Bước 2: Đối với cơ quan quản lý hồ sơ, lý lịch có trách nhiệm trích sao và xác nhận theo quy định dưới đây về thời gian chiến đấu, công tác ở chiến trường B, C, K của đối tượng ở một trong các hồ sơ, lý lịch: cán bộ, đảng viên, quân nhân hoặc hưu trí, mất sức:
- Đối với đối tượng đang làm việc trong lực lượng vũ trang, cơ quan, doanh nghiệp Nhà nước thì thủ trưởng cơ quan, đơn vị, doanh nghiệp nơi đối tượng đang làm việc căn cứ hồ sơ, lý lịch quản lý có trách nhiệm trích sao và xác nhận cho đối tượng theo quy định.
- Đối với đối tượng đang làm việc ở ngoài khu vực Nhà nước, đối tượng đã nghỉ hưu, nghỉ mất sức lao động, bệnh binh, tai nạn lao động, bệnh nghề nghiệp, xuất ngũ thì Ủy ban nhân dân cấp xã đề nghị cơ quan quản lý hồ sơ cấp xã trích sao và xác nhận cho đối tượng. 
Bước 3: Ban Chỉ huy quân sự cấp xã, Công an cấp xã có trách nhiệm tiếp nhận, tập hợp tờ khai, trích sao hồ sơ, lý lịch về thời gian chiến đấu, công tác cho đối tượng (nếu quản lý hồ sơ, lý lịch) và gửi về Bộ Chỉ huy quân sự cấp tỉnh, Công an cấp tỉnh.
Bước 4: Bộ Chỉ huy quân sự cấp tỉnh, Công an cấp tỉnh, căn cứ hồ sơ lưu trữ có trách nhiệm xét duyệt đối tượng được hưởng chế độ trong phạm vi quản lý. Đồng thời tập hợp lập danh sách kèm theo tờ khai cá nhân, bản trích sao lý lịch gửi lên Bộ Quốc phòng, nếu là Quân đội và Bộ Công an, nếu là Công an.
Bước 5: Bộ Quốc phòng, Bộ Công an có trách nhiệm duyệt đối tượng được hưởng chế độ trong phạm vi quản lý, đồng thời tập hợp, kiểm tra, xác nhận và lập dự toán gửi Bộ Tài chính để xét cấp kinh phí. Căn cứ vào đề nghị của Bộ Quốc phòng và Bộ Công an, Bộ Tài chính sẽ cấp bằng hạn mức kinh phí hoặc lệnh chi tiền cho Bộ Quốc phòng và Bộ Công an thực hiện chi trả theo đối tượng và quyết toán theo quy định hiện hành.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dịch vụ bưu chính công ích hoặc trực tiếp.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cá nhân theo Mẫu số 03 Phụ lục kèm theo Thông tư số 09/2025/TT-BNV ngày 18/6/2025</w:t>
            </w:r>
          </w:p>
        </w:tc>
        <w:tc>
          <w:p/>
          <w:p>
            <w:pPr>
              <w:spacing w:after="0" w:before="0" w:lineRule="auto" w:line="276"/>
              <w:jc w:val="left"/>
            </w:pPr>
            <w:r>
              <w:rPr>
                <w:rFonts w:ascii="Times New Roman" w:hAnsi="Times New Roman" w:cs="Times New Roman" w:eastAsia="Times New Roman"/>
                <w:b w:val="false"/>
                <w:sz w:val="26"/>
              </w:rPr>
              <w:t>Mauso03_TT09_2025.docx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thân nhân theo Mẫu số 04 Phụ lục I kèm theo Thông tư số 09/2025/TT-BNV đối với người đã từ trần hoặc hy sinh</w:t>
            </w:r>
          </w:p>
        </w:tc>
        <w:tc>
          <w:p/>
          <w:p>
            <w:pPr>
              <w:spacing w:after="0" w:before="0" w:lineRule="auto" w:line="276"/>
              <w:jc w:val="left"/>
            </w:pPr>
            <w:r>
              <w:rPr>
                <w:rFonts w:ascii="Times New Roman" w:hAnsi="Times New Roman" w:cs="Times New Roman" w:eastAsia="Times New Roman"/>
                <w:b w:val="false"/>
                <w:sz w:val="26"/>
              </w:rPr>
              <w:t>Mauso04_TT09_2025.docx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Tài chính, Bộ Quốc phòng, Ban chỉ huy quân sự cấp Xã, Công an Xã, Bộ chỉ huy quân sự cấp tỉnh, Công an Tỉnh, Ủy ban nhân dân cấp xã, Bộ Công 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Quốc phòng; Bộ Công an; Bộ Chỉ huy quân sự cấp tỉnh; Công an cấp tỉnh; Bộ Tài chính; Ủy ban nhân dân cấp xã; Ban Chỉ huy quân sự cấp xã; Công an cấp xã;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Duyệt đối tượng được hưởng chế độ và chi trả theo đối tượng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17/1999/TTLT-BLĐTBXH-BTC-BTCCBCP</w:t>
            </w:r>
          </w:p>
        </w:tc>
        <w:tc>
          <w:p/>
          <w:p>
            <w:pPr>
              <w:spacing w:after="0" w:before="0" w:lineRule="auto" w:line="276"/>
              <w:jc w:val="left"/>
            </w:pPr>
            <w:r>
              <w:rPr>
                <w:rFonts w:ascii="Times New Roman" w:hAnsi="Times New Roman" w:cs="Times New Roman" w:eastAsia="Times New Roman"/>
                <w:b w:val="false"/>
                <w:sz w:val="26"/>
              </w:rPr>
              <w:t>ỦA BỘ LAO ĐỘNG - THƯƠNG BINH VÀ XÃ HỘI - BỘ TÀI CHÍNH - BAN TỔ CHỨC CÁN BỘ CHÍNH PHỦ SỐ 17/1999/TTLT-BLĐTBXH- BTC-BTCCBCP NGÀY 21 THÁNG 7 NĂM 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21-07-1999</w:t>
            </w:r>
          </w:p>
        </w:tc>
        <w:tc>
          <w:p/>
        </w:tc>
      </w:tr>
      <w:tr>
        <w:tc>
          <w:p/>
          <w:p>
            <w:pPr>
              <w:spacing w:after="0" w:before="0" w:lineRule="auto" w:line="276"/>
              <w:jc w:val="left"/>
            </w:pPr>
            <w:r>
              <w:rPr>
                <w:rFonts w:ascii="Times New Roman" w:hAnsi="Times New Roman" w:cs="Times New Roman" w:eastAsia="Times New Roman"/>
                <w:b w:val="false"/>
                <w:sz w:val="26"/>
              </w:rPr>
              <w:t>13/2002/BLĐTBXH-TT</w:t>
            </w:r>
          </w:p>
        </w:tc>
        <w:tc>
          <w:p/>
          <w:p>
            <w:pPr>
              <w:spacing w:after="0" w:before="0" w:lineRule="auto" w:line="276"/>
              <w:jc w:val="left"/>
            </w:pPr>
            <w:r>
              <w:rPr>
                <w:rFonts w:ascii="Times New Roman" w:hAnsi="Times New Roman" w:cs="Times New Roman" w:eastAsia="Times New Roman"/>
                <w:b w:val="false"/>
                <w:sz w:val="26"/>
              </w:rPr>
              <w:t>HƯỚNG DẪN BỔ SUNG THÔNG TƯ SỐ 17/1999/TTLT-BLĐTBXH-BTC-BTCCBCP NGÀY 21-7-1999 HƯỚNG DẪN THI HÀNH NGHỊ ĐỊNH SỐ 23/1999/NĐ-CP NGÀY 15-4-1999 CỦA CHÍNH PHỦ VỀ CHẾ ĐỘ ĐỐI VỚI QUÂN NHÂN, CÁN BỘ ĐI CHIẾN TRƯỜNG B, C, K TRONG THỜI KỲ CHỐNG MỸ CỨU NƯỚC KHÔNG CÓ THÂN NHÂN PHẢI TRỰC TIẾP NUÔI DƯỠNG VÀ QUÂN NHÂN, CÁN BỘ ĐƯỢC ĐẢNG CỬ Ở LẠI MIỀN NAM HOẠT ĐỘNG SAU HIỆP ĐỊNH GIƠNEVƠ NĂM 1954</w:t>
            </w:r>
          </w:p>
        </w:tc>
        <w:tc>
          <w:p/>
          <w:p>
            <w:pPr>
              <w:spacing w:after="0" w:before="0" w:lineRule="auto" w:line="276"/>
              <w:jc w:val="left"/>
            </w:pPr>
            <w:r>
              <w:rPr>
                <w:rFonts w:ascii="Times New Roman" w:hAnsi="Times New Roman" w:cs="Times New Roman" w:eastAsia="Times New Roman"/>
                <w:b w:val="false"/>
                <w:sz w:val="26"/>
              </w:rPr>
              <w:t>10-09-2002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quy định tại điểm 1 Phần I Thông tư liên tịch số 17/1999/TTLT-BLĐTBXH-BTC-BTCCBCP nếu đảo ngũ hoặc theo địch thì không thuộc đối tượng áp dụng.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2025-11-18T01:56:47Z</dcterms:created>
  <dc:creator>Apache POI</dc:creator>
</cp:coreProperties>
</file>