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quân nhân, cán bộ đi chiến trường B,C,K trong thời kỳ chống Mỹ cứu nước không có thân nhân phải trực tiếp nuôi dưỡng và quân nhân, cán bộ được đảng cử ở lại miền nam hoạt động sau hiệp định Giơnevơ năm 1954 đối với cán bộ dân, chính, đảng thuộc diện Trung 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được hưởng làm bản khai theo Mẫu số 03 Phụ lục kèm theo Thông tư số 09/2025/TT-BNV ngày 18/6/2025 của Bộ trưởng Bộ Nội vụ quy định về phân cấp và phân định thẩm quyền thực hiện nhiệm vụ quản lý nhà nước trong lĩnh vực nội vụ (sau đây gọi tắt là Thông tư số 09/2025/TT-BNV). 
Riêng đối với người đã từ trần hoặc hy sinh thì đại diện thân nhân làm tờ khai theo Mẫu số 04 Phụ lục I kèm theo Thông tư số 09/2025/TT-BNV.
Bản kê khai phải có sự chứng nhận của cơ quan nơi người đó công tác nếu còn đang làm việc hoặc chứng nhận của Ủy ban nhân dân cấp xã về nơi cư trú đối với đối tượng còn lại. Sau đó đối tượng nộp bản khai cá nhân cho Ủy ban nhân dân cấp xã.
Bước 2: Đối với cơ quan quản lý hồ sơ, lý lịch có trách nhiệm trích sao và xác nhận theo quy định dưới đây về thời gian chiến đấu, công tác ở chiến trường B, C, K của đối tượng ở một trong các hồ sơ, lý lịch: cán bộ, đảng viên, quân nhân hoặc hưu trí, mất sức:
- Đối với đối tượng đang làm việc trong cơ quan, doanh nghiệp Nhà nước thì thủ trưởng cơ quan, đơn vị, doanh nghiệp nơi đối tượng đang làm việc căn cứ hồ sơ, lý lịch quản lý có trách nhiệm trích sao và xác nhận cho đối tượng theo quy định;
- Đối với đối tượng đang làm việc ở ngoài khu vực Nhà nước, đối tượng đã nghỉ hưu, nghỉ mất sức lao động, bệnh binh, tai nạn lao động, bệnh nghề nghiệp, xuất ngũ thì Ủy ban nhân dân cấp xã đề nghị cơ quan quản lý hồ sơ cấp xã trích sao và xác nhận cho đối tượng; 
Bước 3: Ủy ban nhân dân cấp xã có trách nhiệm tiếp nhận tờ khai cá nhân, đề nghị cơ quan quản lý hồ sơ, lý lịch cấp xã trích sao lý lịch cho đối tượng và tập hợp danh sách gửi Chủ tịch Ủy ban nhân dân cấp tỉnh.
Bước 4: Chủ tịch Ủy ban nhân dân cấp tỉnh, căn cứ hồ sơ lưu trữ, đề nghị Ban Tổ chức Trung ương xét duyệt đối tượng được hưởng đồng thời tập hợp, xác nhận, lập dự toán và có công văn gửi về Bộ Tài chính để xét cấp kinh phí. Căn cứ vào danh sách xét duyệt của Ban Tổ chức Trung ương, Bộ Tài chính cấp bằng hạn mức kinh phí hoặc lệnh chi tiền cho các Bộ, Ban, ngành để chi trả cho đối tượng và quyết toán theo quy định hiện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cá nhân theo Mẫu số 03 Phụ lục kèm theo Thông tư số 09/2025/TT-BNV ngày 18/6/2025,</w:t>
            </w:r>
          </w:p>
        </w:tc>
        <w:tc>
          <w:p/>
          <w:p>
            <w:pPr>
              <w:spacing w:after="0" w:before="0" w:lineRule="auto" w:line="276"/>
              <w:jc w:val="left"/>
            </w:pPr>
            <w:r>
              <w:rPr>
                <w:rFonts w:ascii="Times New Roman" w:hAnsi="Times New Roman" w:cs="Times New Roman" w:eastAsia="Times New Roman"/>
                <w:b w:val="false"/>
                <w:sz w:val="26"/>
              </w:rPr>
              <w:t>Mauso03_TT09_2025.docx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thân nhân theo Mẫu số 04 Phụ lục I kèm theo Thông tư số 09/2025/TT-BNV đối với người đã từ trần hoặc hy sinh.</w:t>
            </w:r>
          </w:p>
        </w:tc>
        <w:tc>
          <w:p/>
          <w:p>
            <w:pPr>
              <w:spacing w:after="0" w:before="0" w:lineRule="auto" w:line="276"/>
              <w:jc w:val="left"/>
            </w:pPr>
            <w:r>
              <w:rPr>
                <w:rFonts w:ascii="Times New Roman" w:hAnsi="Times New Roman" w:cs="Times New Roman" w:eastAsia="Times New Roman"/>
                <w:b w:val="false"/>
                <w:sz w:val="26"/>
              </w:rPr>
              <w:t>Mauso04_TT09_2025.docx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 Chủ tịch ủy ban nhân dân cấp tỉnh,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Duyệt đối tượng được hưởng chế độ và chi trả theo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17/1999/TTLT-BLĐTBXH-BTC-BTCCBCP</w:t>
            </w:r>
          </w:p>
        </w:tc>
        <w:tc>
          <w:p/>
          <w:p>
            <w:pPr>
              <w:spacing w:after="0" w:before="0" w:lineRule="auto" w:line="276"/>
              <w:jc w:val="left"/>
            </w:pPr>
            <w:r>
              <w:rPr>
                <w:rFonts w:ascii="Times New Roman" w:hAnsi="Times New Roman" w:cs="Times New Roman" w:eastAsia="Times New Roman"/>
                <w:b w:val="false"/>
                <w:sz w:val="26"/>
              </w:rPr>
              <w:t>ỦA BỘ LAO ĐỘNG - THƯƠNG BINH VÀ XÃ HỘI - BỘ TÀI CHÍNH - BAN TỔ CHỨC CÁN BỘ CHÍNH PHỦ SỐ 17/1999/TTLT-BLĐTBXH- BTC-BTCCBCP NGÀY 21 THÁNG 7 NĂM 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21-07-1999</w:t>
            </w:r>
          </w:p>
        </w:tc>
        <w:tc>
          <w:p/>
        </w:tc>
      </w:tr>
      <w:tr>
        <w:tc>
          <w:p/>
          <w:p>
            <w:pPr>
              <w:spacing w:after="0" w:before="0" w:lineRule="auto" w:line="276"/>
              <w:jc w:val="left"/>
            </w:pPr>
            <w:r>
              <w:rPr>
                <w:rFonts w:ascii="Times New Roman" w:hAnsi="Times New Roman" w:cs="Times New Roman" w:eastAsia="Times New Roman"/>
                <w:b w:val="false"/>
                <w:sz w:val="26"/>
              </w:rPr>
              <w:t>13/2002/BLĐTBXH-TT</w:t>
            </w:r>
          </w:p>
        </w:tc>
        <w:tc>
          <w:p/>
          <w:p>
            <w:pPr>
              <w:spacing w:after="0" w:before="0" w:lineRule="auto" w:line="276"/>
              <w:jc w:val="left"/>
            </w:pPr>
            <w:r>
              <w:rPr>
                <w:rFonts w:ascii="Times New Roman" w:hAnsi="Times New Roman" w:cs="Times New Roman" w:eastAsia="Times New Roman"/>
                <w:b w:val="false"/>
                <w:sz w:val="26"/>
              </w:rPr>
              <w:t>HƯỚNG DẪN BỔ SUNG THÔNG TƯ SỐ 17/1999/TTLT-BLĐTBXH-BTC-BTCCBCP NGÀY 21-7-1999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10-09-2002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quy định tại điểm 1 Phần I Thông tư liên tịch số 17/1999/TTLT-BLĐTBXH-BTC-BTCCBCP nếu đảo ngũ hoặc theo địch thì không thuộc đối tượng áp dụng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2025-11-18T01:56:29Z</dcterms:created>
  <dc:creator>Apache POI</dc:creator>
</cp:coreProperties>
</file>