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2.002363.000.00.00.H18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Ghi vào Sổ đăng ký nuôi con nuôi việc nuôi con nuôi đã được giải quyết tại cơ quan có thẩm quyền của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có yêu cầu ghi vào Sổ đăng ký nuôi con nuôi việc nuôi con nuôi đã được giải quyết tại cơ quan có thẩm quyền của nước ngoài nộp hồ sơ tại Trung tâm Phục vụ hành chính công cấp xã; nộp lệ phí nếu thuộc trường hợp phải nộp lệ phí; nộp phí cấp bản sao Trích lục ghi vào Sổ đăng ký nuôi con nuôi việc nuôi con nuôi đã được giải quyết tại cơ quan có thẩm quyền của nước ngoài nếu có yêu cầu.
- Nếu lựa chọn hình thức nộp hồ sơ trực tuyến, người có yêu cầu ghi vào Sổ đăng ký nuôi con nuôi việc nuôi con nuôi đã được giải quyết tại cơ quan có thẩm quyền của nước ngoài truy cập Cổng dịch vụ công quốc gia hoặc Cổng dịch vụ công cấp tỉnh, đăng ký tài khoản (nếu chưa có tài khoản), xác thực người dùng theo hướng dẫn, đăng nhập vào hệ thống, xác định đúng Ủy ban nhân dân cấp xã có thẩm quyền.
Người có yêu cầu ghi vào Sổ đăng ký nuôi con nuôi việc nuôi con nuôi đã được giải quyết tại cơ quan có thẩm quyền của nước ngoài trực tuyến cung cấp thông tin theo Biểu mẫu điện tử tương tác ghi vào Sổ hộ tịch việc nuôi con nuôi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Bộ phận một cửa có trách nhiệm kiểm tra tính chính xác, đầy đủ, thống nhất, hợp lệ của hồ sơ.
(i) Trường hợp hồ sơ đầy đủ, hợp lệ thì tiếp nhận hồ sơ; nếu tiếp nhận hồ sơ sau 15 giờ thì có Phiếu hẹn, trả kết quả cho người có yêu cầu trong ngày làm việc tiếp theo (nếu người có yêu cầu lựa chọn hình thức nộp hồ sơ trực tiếp) hoặc gửi ngay Phiếu hẹn, trả kết quả qua thư điện tử hoặc gửi tin nhắn hẹn trả kết quả qua điện thoại di động cho người có yêu cầu (nếu người có yêu cầu lựa chọn hình thức nộp hồ sơ trực tuyến); chuyển hồ sơ để công chức làm công tác nuôi con nuôi xử lý. 
-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có yêu cầu ghi vào Sổ đăng ký nuôi con nuôi việc nuôi con nuôi đã được giải quyết tại cơ quan có thẩm quyền của nước ngoài không bổ sung, hoàn thiện được hồ sơ thì báo cáo Trưởng bộ phận một cửa có thông báo từ chối giải quyết yêu cầu ghi vào Sổ đăng ký nuôi con nuôi việc nuôi con nuôi đã được giải quyết tại cơ quan có thẩm quyền của nước ngoài.
- Công chức làm công tác nuôi con nuôi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gửi thông báo về tình trạng hồ sơ tới Bộ phận một cửa để thông báo cho người nộp hồ sơ – thực hiện lại bước (ii) hoặc (iii);
+ Trường hợp cần phải kiểm tra, xác minh làm rõ hoặc do nguyên nhân khác mà không thể trả kết quả đúng thời gian đã hẹn thì công chức làm công tác nuôi con nuôi lập Phiếu xin lỗi và hẹn lại ngày trả kết quả, trong đó nêu rõ lý do chậm trả kết quả và thời gian hẹn trả kết quả, chuyển Bộ phận một cửa để trả cho người có yêu cầu (nếu người có yêu cầu lựa chọn hình thức nộp hồ sơ trực tiếp), hoặc gửi Phiếu xin lỗi và hẹn lại ngày trả kết quả qua thư điện tử hoặc gửi tin nhắn qua điện thoại di động cho người có yêu cầu (nếu người có yêu cầu lựa chọn hình thức nộp hồ sơ trực tuyến).
+ Nếu thấy yêu cầu ghi vào Sổ đăng ký nuôi con nuôi việc nuôi con nuôi đã được giải quyết tại cơ quan có thẩm quyền của nước ngoài đủ điều kiện, phù hợp quy định pháp luật, trường hợp tiếp nhận hồ sơ ghi vào Sổ đăng ký nuôi con nuôi việc nuôi con nuôi đã được giải quyết tại cơ quan có thẩm quyền của nước ngoài theo hình thức trực tiếp, thì công chức làm công tác nuôi con nuôi thực hiện việc ghi nội dung ghi chú vào Sổ đăng ký nuôi con nuôi, cập nhật thông tin ghi vào Sổ đăng ký nuôi con nuôi việc nuôi con nuôi đã được giải quyết tại cơ quan có thẩm quyền của nước ngoài và lưu chính thức trên Phần mềm đăng ký, quản lý hộ tịch điện tử dùng chung.
Trường hợp tiếp nhận hồ sơ ghi vào Sổ đăng ký nuôi con nuôi việc nuôi con nuôi đã được giải quyết tại cơ quan có thẩm quyền của nước ngoài theo hình thức trực tuyến, công chức làm công tác nuôi con nuôi gửi lại biểu mẫu Trích lục Ghi vào Sổ việc nuôi con nuôi đã được giải quyết tại cơ quan có thẩm quyền của nước ngoài điện tử cho người yêu cầu qua thư điện tử hoặc thiết bị số.
Người yêu cầu có trách nhiệm kiểm tra tính chính xác, đầy đủ của các thông tin trên biểu mẫu Trích lục Ghi vào Sổ việc nuôi con nuôi đã được giải quyết tại cơ quan có thẩm quyền của nước ngoài điện tử và xác nhận (tối đa một ngày).
Nếu người có yêu cầu xác nhận thông tin đã thống nhất, đầy đủ hoặc không có phản hồi sau thời hạn yêu cầu thì công chức làm công tác nuôi con nuôi thực hiện việc ghi nội dung ghi chú vào Sổ đăng ký nuôi con nuôi, cập nhật thông tin ghi vào Sổ đăng ký nuôi con nuôi việc nuôi con nuôi đã được giải quyết tại cơ quan có thẩm quyền của nước ngoài và lưu chính thức trên Phần mềm đăng ký, quản lý hộ tịch điện tử dùng chung.
- Công chức làm công tác nuôi con nuôi in Trích lục Ghi vào Sổ việc nuôi con nuôi đã được giải quyết tại cơ quan có thẩm quyền của nước ngoài, trình Lãnh đạo UBND ký, chuyển tới Bộ phận một cửa để trả kết quả cho người có yêu cầu.
- Người có yêu cầu ghi vào Sổ đăng ký nuôi con nuôi việc nuôi con nuôi đã được giải quyết tại cơ quan có thẩm quyền của nước ngoài được nhận kết quả theo một trong các phương thức sau đây:
+ Nhận bản điện tử Trích lục Ghi vào Sổ việc nuôi con nuôi đã được giải quyết tại cơ quan có thẩm quyền của nước ngoài gửi qua thư điện tử, Kho quản lý dữ liệu điện tử của cá nhân đó;
+ Nhận bản điện tử Trích lục Ghi vào Sổ việc nuôi con nuôi đã được giải quyết tại cơ quan có thẩm quyền của nước ngoài gửi vào thiết bị số, thông qua phương pháp truyền số liệu phù hợp, đảm bảo an toàn, bảo mật thông tin;
+ Nhận kết quả là Trích lục Ghi vào Sổ việc nuôi con nuôi đã được giải quyết tại cơ quan có thẩm quyền của nước ngoài thông qua hệ thống bưu chính;
+ Nhận kết quả là Trích lục Ghi vào Sổ việc nuôi con nuôi đã được giải quyết tại cơ quan có thẩm quyền của nước ngoài tại cơ quan đăng ký hộ tịch.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phải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Phí : 8.000 đồng/bản sao </w:t>
              <w:t xml:space="preserve"> (bản sao trích lục/sự kiện hộ tích đã được đăng ký)</w:t>
            </w:r>
          </w:p>
          <w:p>
            <w:pPr>
              <w:spacing w:after="0" w:before="0" w:lineRule="auto" w:line="276"/>
              <w:jc w:val="left"/>
            </w:pPr>
            <w:r>
              <w:rPr>
                <w:rFonts w:ascii="Times New Roman" w:hAnsi="Times New Roman" w:cs="Times New Roman" w:eastAsia="Times New Roman"/>
                <w:b w:val="false"/>
                <w:sz w:val="26"/>
              </w:rPr>
              <w:t xml:space="preserve">Lệ phí : 75.000 đồng/ lần.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 Ngay trong ngày tiếp nhận hồ sơ. Trường hợp nhận hồ sơ sau 15 giờ mà không giải quyết được ngay thì trả kết quả trong ngày làm việc tiếp theo.
- Trường hợp phải xác minh thì thời hạn giải quyết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phải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Phí : 8.000 đồng/bản sao </w:t>
              <w:t xml:space="preserve"> (bản sao trích lục/sự kiện hộ tích đã được đăng ký)</w:t>
            </w:r>
          </w:p>
          <w:p>
            <w:pPr>
              <w:spacing w:after="0" w:before="0" w:lineRule="auto" w:line="276"/>
              <w:jc w:val="left"/>
            </w:pPr>
            <w:r>
              <w:rPr>
                <w:rFonts w:ascii="Times New Roman" w:hAnsi="Times New Roman" w:cs="Times New Roman" w:eastAsia="Times New Roman"/>
                <w:b w:val="false"/>
                <w:sz w:val="26"/>
              </w:rPr>
              <w:t xml:space="preserve">Lệ phí : 75.000 đồng/ lần.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 Ngay trong ngày tiếp nhận hồ sơ. Trường hợp nhận hồ sơ sau 15 giờ mà không giải quyết được ngay thì trả kết quả trong ngày làm việc tiếp theo.
- Trường hợp phải xác minh thì thời hạn giải quyết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phải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Phí : 8.000 đồng/bản sao </w:t>
              <w:t xml:space="preserve"> (bản sao trích lục/sự kiện hộ tích đã được đăng ký)</w:t>
            </w:r>
          </w:p>
          <w:p>
            <w:pPr>
              <w:spacing w:after="0" w:before="0" w:lineRule="auto" w:line="276"/>
              <w:jc w:val="left"/>
            </w:pPr>
            <w:r>
              <w:rPr>
                <w:rFonts w:ascii="Times New Roman" w:hAnsi="Times New Roman" w:cs="Times New Roman" w:eastAsia="Times New Roman"/>
                <w:b w:val="false"/>
                <w:sz w:val="26"/>
              </w:rPr>
              <w:t xml:space="preserve">Lệ phí : 75.000 đồng/ lần.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 Ngay trong ngày tiếp nhận hồ sơ. Trường hợp nhận hồ sơ sau 15 giờ mà không giải quyết được ngay thì trả kết quả trong ngày làm việc tiếp theo.
- Trường hợp phải xác minh thì thời hạn giải quyết không quá 03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có chứng thực giấy   tờ chứng minh việc nuôi con nuôi đã được giải quyết tại cơ quan có thẩm quyền của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việc ghi chú.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chứng    nhận việc nuôi con nuôi đã được thực hiện     phù hợp với điều ước quốc tế của cơ quan có thẩm quyền của nước ngoài (trong trường hợp việc nuôi con nuôi đã được giải quyết theo quy định của điều ước quốc tế mà Việt Nam và nước nơi giải quyết việc nuôi con nuôi cùng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 hoặc Chứng minh nhân dân hoặc Thẻ căn cước công dân hoặc các giấy tờ khác có dán ảnh và thông tin cá nhân do cơ quan có thẩm quyền cấp, còn giá trị sử dụng để chứng minh về nhân thân của người có yêu cầu ghi vào Sổ việc nuôi con nuôi đã được giải quyết tại cơ quan có thẩm quyền của nước ngoài. Trường hợp các thông tin cá nhân trong các giấy tờ này đã có trong Cơ sở dữ liệu quốc gia về dân cư, Cơ sở dữ liệu hộ tịch điện tử,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Các giấy tờ chứng minh thông tin về cư trú bao gồm: Thẻ căn cước công dân; Chứng minh nhân dân; Giấy xác nhận thông tin về cư trú, Giấy thông báo số định danh cá nhân và thông tin công dân trong Cơ sở dữ liệu quốc gia về dân cư.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Lưu ý đối với các giấy tờ:  - Đối với giấy tờ nộp, xuất trình nếu người yêu cầu nộp hồ sơ theo hình thức trực tiếp: + Đối với giấy tờ xuất trình,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 + Người yêu cầu thực hiện thủ tục có thể nộp bản sao chứng thực từ bản chính hoặc bản sao được cấp từ sổ gốc hoặc bản chụp kèm theo bản chính giấy tờ để đối chiếu. Trường hợp người yêu cầu nộp bản chụp kèm theo bản chính giấy tờ thì người tiếp nhận có trách nhiệm kiểm tra, đối chiếu bản chụp với bản chính và ký xác nhận, không được yêu cầu người đi đăng ký nộp bản sao giấy tờ đó. + Người tiếp nhận có trách nhiệm tiếp nhận đúng, đủ hồ sơ đăng ký theo quy định của pháp luật hộ tịch và pháp luật nuôi con nuôi, không được yêu cầu người đăng ký nộp thêm giấy tờ mà pháp luật hộ tịch và pháp luật nuôi con nuôi không quy định phải nộp. - Đối với giấy tờ gửi kèm theo nếu người yêu cầu nộp hồ sơ theo hình thức trực tuyến: + Bản chụp các giấy tờ gửi kèm theo hồ sơ yêu cầu ghi vào Sổ đăng ký nuôi con nuôi việc nuôi con nuôi đã được giải quyết tại cơ quan có thẩm quyền của nước ngoài trực tuyến phải bảo đảm rõ nét, đầy đủ, toàn vẹn về nội dung, là bản chụp bằng máy ảnh, điện thoại hoặc được chụp, được quét bằng thiết bị điện tử, từ giấy tờ được cấp hợp lệ, còn giá trị sử dụng; nếu là giấy tờ do cơ quan có thẩm quyền nước ngoài cấp thì phải được hợp pháp hóa lãnh sự, dịch sang tiếng Việt theo quy định, trừ trường hợp được miễn hợp pháp hóa lãnh sự. + Trường hợp giấy tờ, tài liệu phải gửi kèm trong hồ sơ ghi vào Sổ đăng ký nuôi con nuôi việc nuôi con nuôi đã được giải quyết tại cơ quan có thẩm quyền của nước ngoài trực tuyến đã có bản sao điện tử hoặc đã có bản điện tử giấy tờ thì người yêu cầu được sử dụng bản điện tử này. + Trường hợp nhận kết quả (Trích lục Ghi vào Sổ việc nuôi con nuôi đã được giải quyết tại cơ quan có thẩm quyền của nước ngoài) tại cơ quan đăng ký hộ tịch, người có yêu cầu ghi vào Sổ đăng ký nuôi con nuôi việc nuôi con nuôi đã được giải quyết tại cơ quan có thẩm quyền của nước ngoài phải xuất trình giấy tờ tuỳ thân, nộp các giấy tờ là thành phần hồ sơ ghi vào Sổ đăng ký nuôi con nuôi việc nuôi con nuôi đã được giải quyết tại cơ quan có thẩm quyền của nước ngoài theo quy định pháp luật hộ tịch và pháp luật nuôi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Biểu mẫu điện tử tương tác ghi vào Sổ hộ tịch việc nuôi con nuôi (do người yêu cầu cung cấp thông tin theo hướng dẫn trên Cổng dịch vụ công nếu    người có yêu cầu lựa chọn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ghi vào Sổ đăng ký    nuôi con nuôi việc    nuôi con nuôi đã được giải quyết tại cơ quan có thẩm quyền của nước ngoài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ghi vào  Sổ hộ tịch việc nuôi con nuôi theo mẫu;</w:t>
            </w:r>
          </w:p>
        </w:tc>
        <w:tc>
          <w:p/>
          <w:p>
            <w:pPr>
              <w:spacing w:after="0" w:before="0" w:lineRule="auto" w:line="276"/>
              <w:jc w:val="left"/>
            </w:pPr>
            <w:r>
              <w:rPr>
                <w:rFonts w:ascii="Times New Roman" w:hAnsi="Times New Roman" w:cs="Times New Roman" w:eastAsia="Times New Roman"/>
                <w:b w:val="false"/>
                <w:sz w:val="26"/>
              </w:rPr>
              <w:t>9..TKghivosccvichtchkhc.doc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Ghi vào Sổ việc nuôi con nuôi đã được giải quyết tại cơ quan có thẩm quyền của nước ngoài; Trích lục Ghi vào Sổ việc nuôi con nuôi đã được giải quyết tại cơ quan có thẩm quyền của nước ngoài (bản sao)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số 281/2016/TT-BTC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tc>
      </w:tr>
      <w:tr>
        <w:tc>
          <w:p/>
          <w:p>
            <w:pPr>
              <w:spacing w:after="0" w:before="0" w:lineRule="auto" w:line="276"/>
              <w:jc w:val="left"/>
            </w:pPr>
            <w:r>
              <w:rPr>
                <w:rFonts w:ascii="Times New Roman" w:hAnsi="Times New Roman" w:cs="Times New Roman" w:eastAsia="Times New Roman"/>
                <w:b w:val="false"/>
                <w:sz w:val="26"/>
              </w:rPr>
              <w:t>19/2011/NĐ-CP</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tc>
      </w:tr>
      <w:tr>
        <w:tc>
          <w:p/>
          <w:p>
            <w:pPr>
              <w:spacing w:after="0" w:before="0" w:lineRule="auto" w:line="276"/>
              <w:jc w:val="left"/>
            </w:pPr>
            <w:r>
              <w:rPr>
                <w:rFonts w:ascii="Times New Roman" w:hAnsi="Times New Roman" w:cs="Times New Roman" w:eastAsia="Times New Roman"/>
                <w:b w:val="false"/>
                <w:sz w:val="26"/>
              </w:rPr>
              <w:t>24/2019/NĐ-CP</w:t>
            </w:r>
          </w:p>
        </w:tc>
        <w:tc>
          <w:p/>
          <w:p>
            <w:pPr>
              <w:spacing w:after="0" w:before="0" w:lineRule="auto" w:line="276"/>
              <w:jc w:val="left"/>
            </w:pPr>
            <w:r>
              <w:rPr>
                <w:rFonts w:ascii="Times New Roman" w:hAnsi="Times New Roman" w:cs="Times New Roman" w:eastAsia="Times New Roman"/>
                <w:b w:val="false"/>
                <w:sz w:val="26"/>
              </w:rPr>
              <w:t>Nghị định 24/2019/NĐ-CP</w:t>
            </w:r>
          </w:p>
        </w:tc>
        <w:tc>
          <w:p/>
          <w:p>
            <w:pPr>
              <w:spacing w:after="0" w:before="0" w:lineRule="auto" w:line="276"/>
              <w:jc w:val="left"/>
            </w:pPr>
            <w:r>
              <w:rPr>
                <w:rFonts w:ascii="Times New Roman" w:hAnsi="Times New Roman" w:cs="Times New Roman" w:eastAsia="Times New Roman"/>
                <w:b w:val="false"/>
                <w:sz w:val="26"/>
              </w:rPr>
              <w:t>05-03-2019</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10/2020/TT-BTP</w:t>
            </w:r>
          </w:p>
        </w:tc>
        <w:tc>
          <w:p/>
          <w:p>
            <w:pPr>
              <w:spacing w:after="0" w:before="0" w:lineRule="auto" w:line="276"/>
              <w:jc w:val="left"/>
            </w:pPr>
            <w:r>
              <w:rPr>
                <w:rFonts w:ascii="Times New Roman" w:hAnsi="Times New Roman" w:cs="Times New Roman" w:eastAsia="Times New Roman"/>
                <w:b w:val="false"/>
                <w:sz w:val="26"/>
              </w:rPr>
              <w:t>Thông tư 10/2020/TT-BTP</w:t>
            </w:r>
          </w:p>
        </w:tc>
        <w:tc>
          <w:p/>
          <w:p>
            <w:pPr>
              <w:spacing w:after="0" w:before="0" w:lineRule="auto" w:line="276"/>
              <w:jc w:val="left"/>
            </w:pPr>
            <w:r>
              <w:rPr>
                <w:rFonts w:ascii="Times New Roman" w:hAnsi="Times New Roman" w:cs="Times New Roman" w:eastAsia="Times New Roman"/>
                <w:b w:val="false"/>
                <w:sz w:val="26"/>
              </w:rPr>
              <w:t>28-12-2020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nuôi con nuôi giữa công dân Việt Nam với nhau hoặc giữa công dân Việt Nam với người nước ngoài đã được giải quyết tại cơ quan có thẩm quyền của nước ngoài thì được ghi vào Sổ đăng ký nuôi con nuôi trong các trường hợp:
- Việc nuôi con nuôi đã được giải quyết theo quy định của điều ước quốc tế mà Việt Nam và nước nơi giải quyết việc nuôi con nuôi cùng là thành viên;
- Việc nuôi con nuôi đã được giải quyết theo quy định pháp luật của nước ngoài, trừ trường hợp vi phạm những nguyên tắc cơ bản của pháp luật nước Cộng hòa xã hội chủ nghĩa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2025-11-18T01:59:20Z</dcterms:created>
  <dc:creator>Apache POI</dc:creator>
</cp:coreProperties>
</file>