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1.001653.000.00.00.H18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cấp lại Giấy xác nhận khuyết tật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có nhu cầu đổi hoặc cấp lại Giấy xác nhận khuyết tật thì người khuyết tật hoặc người đại diện hợp pháp của người khuyết tật làm đơn theo Mẫu số 01 gửi Bộ phận Tiếp nhận và Trả kết quả của Ủy ban nhân dân cấp xã nơi người khuyết tật cư trú</w:t>
      </w:r>
    </w:p>
    <w:p>
      <w:pPr>
        <w:spacing w:after="0" w:before="0" w:lineRule="auto" w:line="276"/>
        <w:jc w:val="both"/>
      </w:pPr>
      <w:r>
        <w:rPr>
          <w:rFonts w:ascii="Times New Roman" w:hAnsi="Times New Roman" w:cs="Times New Roman" w:eastAsia="Times New Roman"/>
          <w:b w:val="false"/>
          <w:sz w:val="26"/>
        </w:rPr>
        <w:t>Bước 2: Sau 05 ngày làm việc, Chủ tịch Ủy ban nhân dân cấp xã căn cứ hồ sơ đang lưu giữ quyết định đổi hoặc cấp lại Giấy xác nhận khuyết tật.
Đối với trường hợp quy định tại điểm a và điểm c, Khoản 2 Điều 8 (trường hợp người đề nghị xác định lại mức độ khuyết tật do nguyên nhân thay đổi dạng khuyết tật hoặc mức độ khuyết tật; người khuyết tật từ đủ 6 tuổi trở lên trừ trường hợp người khuyết tật đặc biệt nặng quy định tại điểm 1.1, 1.2, 1.5, 1.6, 1.7 Mục IV Mẫu số 02 Thông tư 01/2019/TT-BLĐTBXH thì thực hiện xác định lại mức độ khuyết tật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đổi, cấp lại Giấy xác nhận khuyết tật theo Mẫu số 01 ban hành kèm theo Thông tư số 01/2019/TT-BLĐTBXH (được sửa đổi, bổ sung tại Thông tư số 08/2023/TT-BLĐTBXH)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 nơi người khuyết tật cư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khuyết tật.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51/2010/QH12</w:t>
            </w:r>
          </w:p>
        </w:tc>
        <w:tc>
          <w:p/>
          <w:p>
            <w:pPr>
              <w:spacing w:after="0" w:before="0" w:lineRule="auto" w:line="276"/>
              <w:jc w:val="left"/>
            </w:pPr>
            <w:r>
              <w:rPr>
                <w:rFonts w:ascii="Times New Roman" w:hAnsi="Times New Roman" w:cs="Times New Roman" w:eastAsia="Times New Roman"/>
                <w:b w:val="false"/>
                <w:sz w:val="26"/>
              </w:rPr>
              <w:t>Luật 51/2010/QH12 - Người khuyết tật</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28/2012/NĐ-CP</w:t>
            </w:r>
          </w:p>
        </w:tc>
        <w:tc>
          <w:p/>
          <w:p>
            <w:pPr>
              <w:spacing w:after="0" w:before="0" w:lineRule="auto" w:line="276"/>
              <w:jc w:val="left"/>
            </w:pPr>
            <w:r>
              <w:rPr>
                <w:rFonts w:ascii="Times New Roman" w:hAnsi="Times New Roman" w:cs="Times New Roman" w:eastAsia="Times New Roman"/>
                <w:b w:val="false"/>
                <w:sz w:val="26"/>
              </w:rPr>
              <w:t>28/2012/NĐ-CP - Quy định chi tiết và hướng dẫn thi hành một số điều của Luật Người khuyết tật</w:t>
            </w:r>
          </w:p>
        </w:tc>
        <w:tc>
          <w:p/>
          <w:p>
            <w:pPr>
              <w:spacing w:after="0" w:before="0" w:lineRule="auto" w:line="276"/>
              <w:jc w:val="left"/>
            </w:pPr>
            <w:r>
              <w:rPr>
                <w:rFonts w:ascii="Times New Roman" w:hAnsi="Times New Roman" w:cs="Times New Roman" w:eastAsia="Times New Roman"/>
                <w:b w:val="false"/>
                <w:sz w:val="26"/>
              </w:rPr>
              <w:t>10-04-2012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37/2012/TTLT-BLĐTBXH-BYT-BTC-BGDĐT</w:t>
            </w:r>
          </w:p>
        </w:tc>
        <w:tc>
          <w:p/>
          <w:p>
            <w:pPr>
              <w:spacing w:after="0" w:before="0" w:lineRule="auto" w:line="276"/>
              <w:jc w:val="left"/>
            </w:pPr>
            <w:r>
              <w:rPr>
                <w:rFonts w:ascii="Times New Roman" w:hAnsi="Times New Roman" w:cs="Times New Roman" w:eastAsia="Times New Roman"/>
                <w:b w:val="false"/>
                <w:sz w:val="26"/>
              </w:rPr>
              <w:t>Thông tư liên tịch 37/2012/TTLT-BLĐTBXH-BYT-BTC-BGDĐT - Quy định về việc xác định mức độ khuyết tật do Hội đồng xác định mức độ khuyết tật thực hiện</w:t>
            </w:r>
          </w:p>
        </w:tc>
        <w:tc>
          <w:p/>
          <w:p>
            <w:pPr>
              <w:spacing w:after="0" w:before="0" w:lineRule="auto" w:line="276"/>
              <w:jc w:val="left"/>
            </w:pPr>
            <w:r>
              <w:rPr>
                <w:rFonts w:ascii="Times New Roman" w:hAnsi="Times New Roman" w:cs="Times New Roman" w:eastAsia="Times New Roman"/>
                <w:b w:val="false"/>
                <w:sz w:val="26"/>
              </w:rPr>
              <w:t>28-12-2012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Cấp đổi Giấy xác nhận khuyết tật trong những trường hợp sau:
- Giấy xác nhận khuyết tật sai thông tin so với Chứng minh nhân dân, căn cước công dân hoặc giấy tờ có giá trị pháp lý khác;
- Giấy xác nhận khuyết tật hư hỏng không sử dụng được.
b) Cấp lại Giấy xác nhận khuyết tật trong trường hợp sau:
- Mất Giấy xác nhận khuyết tật.
Trường hợp cấp lại Giấy xác nhận khuyết tật quy định tại điểm a (Trường hợp thay đổi dạng khuyết tật hoặc mức độ khuyết tật) và điểm c (Người khuyết tật từ đủ 6 tuổi trở lên trừ trường hợp người khuyết tật đặc biệt nặng quy định tại điểm 1.1, 1.2, 1.5, 1.6, 1.7 Mục IV Mẫu số 02 ban hành kèm theo Thông tư số 01/2019/TT-BLĐTBXH được sửa đổi, bổ sung tại Thông tư số 08/2023/TT-BLĐTBXH) khoản 2 Điều 8 Thông tư số 01/2019/TT-BLĐTBXH thì thực hiện theo thủ tục hành chính cấp xã (Mã TTHC 1.001699) về xác định, xác định lại mức độ khuyết tật và cấp Giấy xác nhận khuyết tật.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2025-11-18T00:35:31Z</dcterms:created>
  <dc:creator>Apache POI</dc:creator>
</cp:coreProperties>
</file>