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Cơ quan đăng ký phương tiện bao gồm: Sở Xây dựng; UBND cấp xã</w:t>
      </w:r>
    </w:p>
    <w:p>
      <w:pPr>
        <w:spacing w:after="0" w:before="0" w:lineRule="auto" w:line="276"/>
        <w:jc w:val="both"/>
      </w:pPr>
      <w:r>
        <w:rPr>
          <w:rFonts w:ascii="Times New Roman" w:hAnsi="Times New Roman" w:cs="Times New Roman" w:eastAsia="Times New Roman"/>
          <w:b w:val="false"/>
          <w:sz w:val="26"/>
        </w:rPr>
        <w:t>+ Sở Xây dựng vận tải tỉnh Điện Biên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Chi cục đường thủy nội địa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2025-11-18T01:18:34Z</dcterms:created>
  <dc:creator>Apache POI</dc:creator>
</cp:coreProperties>
</file>