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đồng thời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 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có thẩm quyền.</w:t>
      </w:r>
    </w:p>
    <w:p>
      <w:pPr>
        <w:spacing w:after="0" w:before="0" w:lineRule="auto" w:line="276"/>
        <w:jc w:val="both"/>
      </w:pPr>
      <w:r>
        <w:rPr>
          <w:rFonts w:ascii="Times New Roman" w:hAnsi="Times New Roman" w:cs="Times New Roman" w:eastAsia="Times New Roman"/>
          <w:b w:val="false"/>
          <w:sz w:val="26"/>
        </w:rPr>
        <w:t>Cơ quan đăng ký phương tiện bao gồm:</w:t>
      </w:r>
    </w:p>
    <w:p>
      <w:pPr>
        <w:spacing w:after="0" w:before="0" w:lineRule="auto" w:line="276"/>
        <w:jc w:val="both"/>
      </w:pPr>
      <w:r>
        <w:rPr>
          <w:rFonts w:ascii="Times New Roman" w:hAnsi="Times New Roman" w:cs="Times New Roman" w:eastAsia="Times New Roman"/>
          <w:b w:val="false"/>
          <w:sz w:val="26"/>
        </w:rPr>
        <w:t>+ Sở Xây dựng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w:t>
      </w:r>
    </w:p>
    <w:p>
      <w:pPr>
        <w:spacing w:after="0" w:before="0" w:lineRule="auto" w:line="276"/>
        <w:jc w:val="both"/>
      </w:pPr>
      <w:r>
        <w:rPr>
          <w:rFonts w:ascii="Times New Roman" w:hAnsi="Times New Roman" w:cs="Times New Roman" w:eastAsia="Times New Roman"/>
          <w:b w:val="false"/>
          <w:sz w:val="26"/>
        </w:rPr>
        <w:t>+ Cơ quan đăng ký quy định tại khoản 2 Điều 8 được tổ chức, thực hiện đăng ký phương tiện quy định tại khoản 3, khoản 4 Điều 8 Thông tư số 75/2014/TT-BGTVT; cơ quan đăng ký quy định tại khoản 3 Điều 8 được tổ chức, thực hiện đăng ký phương tiện quy định tại khoản 4 Điều 8 Thông tư số 75/2014/TT-BGTVT.</w:t>
      </w:r>
    </w:p>
    <w:p>
      <w:pPr>
        <w:spacing w:after="0" w:before="0" w:lineRule="auto" w:line="276"/>
        <w:jc w:val="both"/>
      </w:pPr>
      <w:r>
        <w:rPr>
          <w:rFonts w:ascii="Times New Roman" w:hAnsi="Times New Roman" w:cs="Times New Roman" w:eastAsia="Times New Roman"/>
          <w:b w:val="false"/>
          <w:sz w:val="26"/>
        </w:rPr>
        <w:t>+ Cấp xã, phường, thị trấn: Thực hiện đăng ký phương tiện có động cơ tổng công suất máy chính từ 05 sức ngựa đến 15 sức ngựa hoặc có sức chở từ 05 người đến 12 người của tổ chức, cá nhân có trụ sở hoặc nơi đăng ký hộ khẩu thường trú tại địa bàn quản lý;  phương tiện không có động cơ trọng tải toàn phần từ 01 tấn đến 15 tấn hoặc có sức chở từ 05 người đến 12 người, phương tiện có động cơ công suất máy chính dưới 05 sức ngựa hoặc có sức chở dưới 05 người của tổ chức, cá nhân có trụ sở hoặc nơi đăng ký hộ khẩu thường trú tại địa bàn quản lý; Tổ chức quản lý đối với phương tiện thô sơ có trọng tải toàn phần dưới 01 tấn hoặc sức chở dưới 05 người hoặc bè khi hoạt động trên đường thủy nội địa phải đảm bảo điều kiện an toàn theo quy định.</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xml:space="preserve">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w:t>
      </w:r>
    </w:p>
    <w:p>
      <w:pPr>
        <w:spacing w:after="0" w:before="0" w:lineRule="auto" w:line="276"/>
        <w:jc w:val="both"/>
      </w:pPr>
      <w:r>
        <w:rPr>
          <w:rFonts w:ascii="Times New Roman" w:hAnsi="Times New Roman" w:cs="Times New Roman" w:eastAsia="Times New Roman"/>
          <w:b w:val="false"/>
          <w:sz w:val="26"/>
        </w:rPr>
        <w:t xml:space="preserve"> Trường hợp hồ sơ nhận qua hệ thống bưu điện hoặc hình thức phù hợp khác, nếu hồ sơ không đầy đủ theo quy định, trong thời gian 02 ngày làm việc, kể từ ngày nhận được hồ sơ, có văn bản gửi tổ chức, cá nhân bổ sung, hoàn thiện hồ sơ;</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đăng ký cấp giấy chứng nhận đăng ký phương tiện cho chủ phương tiện. Trường hợp không cấp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Trong thời hạn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đường thủy nội địa,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hoặc Trung tâm Phục vụ hành chính công cấp xã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2025-11-18T01:18:59Z</dcterms:created>
  <dc:creator>Apache POI</dc:creator>
</cp:coreProperties>
</file>