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1.005461.000.00.00.H18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1713/QĐ-UBND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khai tử</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có yêu cầu đăng ký lại khai tử nộp hồ sơ tại  Trung tâm Phục vụ hành chính công của UBND cấp xã</w:t>
      </w:r>
    </w:p>
    <w:p>
      <w:pPr>
        <w:spacing w:after="0" w:before="0" w:lineRule="auto" w:line="276"/>
        <w:jc w:val="both"/>
      </w:pPr>
      <w:r>
        <w:rPr>
          <w:rFonts w:ascii="Times New Roman" w:hAnsi="Times New Roman" w:cs="Times New Roman" w:eastAsia="Times New Roman"/>
          <w:b w:val="false"/>
          <w:sz w:val="26"/>
        </w:rPr>
        <w:t>- 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 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Hồ sơ sau khi đã được hướng dẫn mà không được bổ sung đầy đủ, hoàn thiện thì người tiếp nhận từ chối tiếp nhận hồ sơ và lập văn bản từ chối tiếp nhận hồ sơ, trong đó ghi rõ lý do từ chối,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 Ngay sau khi tiếp nhận hồ sơ, nếu thấy thông tin khai tử đầy đủ và phù hợp, công chức tư pháp - hộ tịch báo cáo Chủ tịch Ủy ban nhân dân cấp xã. Trường hợp Chủ tịch Ủy ban nhân dân cấp xã đồng ý giải quyết thì công chức tư pháp - hộ tịch ghi vào Sổ đăng ký khai tử, cùng người đi đăng ký khai tử ký vào Sổ. Chủ tịch Ủy ban nhân dân cấp xã ký cấp Trích lục khai tử cho người đi đăng ký khai tử.</w:t>
      </w:r>
    </w:p>
    <w:p>
      <w:pPr>
        <w:shd w:val="clear" w:color="auto" w:fill="F2F6F9"/>
        <w:spacing w:after="0" w:before="120" w:lineRule="auto" w:line="276"/>
        <w:jc w:val="both"/>
      </w:pPr>
      <w:r>
        <w:rPr>
          <w:rFonts w:ascii="Times New Roman" w:hAnsi="Times New Roman" w:cs="Times New Roman" w:eastAsia="Times New Roman"/>
          <w:b w:val="true"/>
          <w:sz w:val="26"/>
        </w:rPr>
        <w:t>* Lưu ý:</w:t>
      </w:r>
    </w:p>
    <w:p>
      <w:pPr>
        <w:spacing w:after="0" w:before="0" w:lineRule="auto" w:line="276"/>
        <w:jc w:val="both"/>
      </w:pPr>
      <w:r>
        <w:rPr>
          <w:rFonts w:ascii="Times New Roman" w:hAnsi="Times New Roman" w:cs="Times New Roman" w:eastAsia="Times New Roman"/>
          <w:b w:val="false"/>
          <w:sz w:val="26"/>
        </w:rPr>
        <w:t>+ 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 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8.000 đồng/lần </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br/>
              <w:t>File đính kèm: dongdau21451_19-07-2025-10-37-10_04NQQPPLK21_000119.07.2025_09h30p09_signed.pdf</w:t>
            </w:r>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cho người thuộc gia đình có công với cách mạng; người thuộc hộ nghèo; người khuyết tật. </w:t>
            </w:r>
          </w:p>
          <w:p>
            <w:pPr>
              <w:spacing w:after="0" w:before="0" w:lineRule="auto" w:line="276"/>
              <w:jc w:val="left"/>
            </w:pPr>
            <w:r>
              <w:rPr>
                <w:rFonts w:ascii="Times New Roman" w:hAnsi="Times New Roman" w:cs="Times New Roman" w:eastAsia="Times New Roman"/>
                <w:b w:val="false"/>
                <w:sz w:val="26"/>
              </w:rPr>
              <w:t xml:space="preserve">Phí : Phí cấp bản sao Trích lục khai tử (nếu có yêu cầu): 8.000 đồng/bản </w:t>
            </w:r>
          </w:p>
          <w:p>
            <w:pPr>
              <w:spacing w:after="0" w:before="0" w:lineRule="auto" w:line="276"/>
              <w:jc w:val="left"/>
            </w:pPr>
            <w:r>
              <w:rPr>
                <w:rFonts w:ascii="Times New Roman" w:hAnsi="Times New Roman" w:cs="Times New Roman" w:eastAsia="Times New Roman"/>
                <w:b w:val="false"/>
                <w:sz w:val="26"/>
              </w:rPr>
              <w:t xml:space="preserve">Lệ phí : 8.000 đồng/lần </w:t>
            </w:r>
          </w:p>
        </w:tc>
        <w:tc>
          <w:p/>
          <w:p>
            <w:pPr>
              <w:spacing w:after="0" w:before="0" w:lineRule="auto" w:line="276"/>
              <w:jc w:val="left"/>
            </w:pPr>
            <w:r>
              <w:rPr>
                <w:rFonts w:ascii="Times New Roman" w:hAnsi="Times New Roman" w:cs="Times New Roman" w:eastAsia="Times New Roman"/>
                <w:b w:val="false"/>
                <w:sz w:val="26"/>
              </w:rPr>
              <w:t>05 ngày làm việc; trường hợp cần xác minh thì thời hạn giải quyết không quá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Hộ chiếu/Chứng minh nhân dân/Thẻ căn cước công dân/Thẻ căn cước/Căn cước điện tử/Giấy chứng nhận căn cước hoặc các giấy tờ khác có dán ảnh và thông tin cá nhân do cơ quan có thẩm quyền cấp, còn giá trị sử dụng để chứng minh về nhân thân của người có yêu cầu đăng ký lại khai tử. Trường hợp các thông tin cá nhân trong các giấy tờ này đã có trong CSDLQGVDC, CSDLHTĐT,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tử trước đây được cấp hợp lệ. Nếu không có bản sao Giấy chứng tử trước đây được cấp hợp lệ thì nộp bản sao hồ sơ, giấy tờ liên quan có nội dung chứng minh sự kiện chết.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ủy quyền theo quy định của pháp luật trong trường hợp ủy quyền thực hiện việc đăng ký lại khai tử.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cung cấp thông tin về giấy tờ hộ tịch của cá nhân đã được đăng ký, cơ quan đăng ký hộ tịch có trách nhiệm tra cứu thông tin trên Hệ thống thông tin giải quyết thủ tục hành chính cấp tỉnh thông qua kết nối với Cơ sở dữ liệu hộ tịch điện tử, CSDLQGVDC. Trường hợp không tra cứu được do không có thông tin trong Cơ sở dữ liệu hộ tịch điện tử, CSDLQGVDC thì cơ quan đăng ký hộ tịch yêu cầu người đi đăng ký hộ tịch nộp/xuất trình giấy tờ liên quan để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lại khai tử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lại khai tử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lại khai tử theo mẫu (nếu người có yêu cầu lựa chọn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16.TKngklikhait.doc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Mẫu hộ tịch điện tử tương tác đăng ký lại khai tử</w:t>
            </w:r>
          </w:p>
        </w:tc>
        <w:tc>
          <w:p/>
          <w:p>
            <w:pPr>
              <w:spacing w:after="0" w:before="0" w:lineRule="auto" w:line="276"/>
              <w:jc w:val="left"/>
            </w:pPr>
            <w:r>
              <w:rPr>
                <w:rFonts w:ascii="Times New Roman" w:hAnsi="Times New Roman" w:cs="Times New Roman" w:eastAsia="Times New Roman"/>
                <w:b w:val="false"/>
                <w:sz w:val="26"/>
              </w:rPr>
              <w:t>16.DTTT-ngklikhait.doc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lại khai tử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Trung tâm Phục vụ hành chính công tỉnh Điện Biên; - Trung tâm Phục vụ hành chính công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Trích lục khai tử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Luật Hộ tịch</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Nghị định123/2015/NĐ-CP </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01/2013/TT-BVHTTDL</w:t>
            </w:r>
          </w:p>
        </w:tc>
        <w:tc>
          <w:p/>
          <w:p>
            <w:pPr>
              <w:spacing w:after="0" w:before="0" w:lineRule="auto" w:line="276"/>
              <w:jc w:val="left"/>
            </w:pPr>
            <w:r>
              <w:rPr>
                <w:rFonts w:ascii="Times New Roman" w:hAnsi="Times New Roman" w:cs="Times New Roman" w:eastAsia="Times New Roman"/>
                <w:b w:val="false"/>
                <w:sz w:val="26"/>
              </w:rPr>
              <w:t>02-01-2013</w:t>
            </w:r>
          </w:p>
        </w:tc>
        <w:tc>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 hướng dẫn thi hành Luật Hộ tịch và Nghị định 123/2015/NĐ-CP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Nghị định số 104/2022/NĐ-CP</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21-12-2022</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03/2023/TT-BTP</w:t>
            </w:r>
          </w:p>
        </w:tc>
        <w:tc>
          <w:p/>
          <w:p>
            <w:pPr>
              <w:spacing w:after="0" w:before="0" w:lineRule="auto" w:line="276"/>
              <w:jc w:val="left"/>
            </w:pPr>
            <w:r>
              <w:rPr>
                <w:rFonts w:ascii="Times New Roman" w:hAnsi="Times New Roman" w:cs="Times New Roman" w:eastAsia="Times New Roman"/>
                <w:b w:val="false"/>
                <w:sz w:val="26"/>
              </w:rPr>
              <w:t>Thông tư 03/2023/TT-BTP sửa đổi, bổ sung một số nội dung của Thông tư số 01/2022/TT-BTP ngày 04/01/2022 của Bộ trưởng Bộ Tư pháp quy định chi tiết một số điều và biện pháp thi hành Nghị định số 87/2020/NĐ-CP ngày 28/7/2020 của Chính phủ quy định về Cơ sở dữ liệu hộ tịch điện tử, đăng ký hộ tịch trực tuyến</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khai tử đã được đăng ký tại cơ quan có thẩm quyền của Việt Nam trước ngày 01/01/2016 nhưng Sổ đăng ký khai tử và bản chính Giấy chứng tử đều bị mất.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2025-11-18T01:12:58Z</dcterms:created>
  <dc:creator>Apache POI</dc:creator>
</cp:coreProperties>
</file>