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quy hoạch đô thị và nông thôn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quan, tổ chức, cá nhân có nhu cầu cung cấp thông tin về hồ sơ cắm mốc, thông tin quy hoạch đô thị và nông thôn gửi văn bản đề nghị qua mạng trực tuyến hoặc qua đường bưu điện hoặc nộp trực tiếp đến Trung tâm phục vụ hành chính công cấp tỉnh hoặc cấp xã.
-	Bộ phận tiếp nhận và trả kết quả kiểm tra hồ sơ:
+ Trường hợp hồ sơ đầy đủ, hợp lệ thì viết giấy hẹn trao cho người nộp.
+ Trường hợp hồ sơ thiếu hoặc không hợp lệ thì công chức tiếp nhận hồ sơ hướng dẫn đầy đủ một lần để người nộp hoàn thiện hồ sơ.
-	Cơ quan giải quyết thủ tục hành chính có trách nhiệm rà soát thông tin về vị trí, địa điểm lô đất, hồ sơ cắm mốc, các thông tin khác liên quan đến quy hoạch đô thị và nông thôn và cung cấp cho cơ quan, tổ chức, cá nhân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cung cấp thông tin về quy hoạch đô thị và nông thôn, ghi rõ thông tin của tổ chức hoặc cá nhân, mục đích đề nghị cung cấp thông tin, vị trí, địa điểm cụ thể của lô đất và các nội dung liên quan bảo đảm việc cung cấp thông tin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Đối với quy hoạch đô thị và nông thôn thuộc thẩm quyền phê duyệt của Ủy ban nhân dân tỉnh.  Trung tâm Phục vụ hành chính công cấp xã: Đối với quy hoạch đô thị và nông thôn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cung cấp thông tin về quy hoạch đô thị và nông thôn theo yêu cầu.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104/2016/QH13</w:t>
            </w:r>
          </w:p>
        </w:tc>
        <w:tc>
          <w:p/>
          <w:p>
            <w:pPr>
              <w:spacing w:after="0" w:before="0" w:lineRule="auto" w:line="276"/>
              <w:jc w:val="left"/>
            </w:pPr>
            <w:r>
              <w:rPr>
                <w:rFonts w:ascii="Times New Roman" w:hAnsi="Times New Roman" w:cs="Times New Roman" w:eastAsia="Times New Roman"/>
                <w:b w:val="false"/>
                <w:sz w:val="26"/>
              </w:rPr>
              <w:t>Tiếp cận thông tin</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số 47/2024/QH15</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2025-11-18T02:13:19Z</dcterms:created>
  <dc:creator>Apache POI</dc:creator>
</cp:coreProperties>
</file>