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1.003956.000.00.00.H18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giao quyền quản lý cho tổ chức cộng đồng (thuộc địa bàn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w:t>
      </w:r>
    </w:p>
    <w:p>
      <w:pPr>
        <w:spacing w:after="0" w:before="0" w:lineRule="auto" w:line="276"/>
        <w:jc w:val="both"/>
      </w:pPr>
      <w:r>
        <w:rPr>
          <w:rFonts w:ascii="Times New Roman" w:hAnsi="Times New Roman" w:cs="Times New Roman" w:eastAsia="Times New Roman"/>
          <w:b w:val="false"/>
          <w:sz w:val="26"/>
        </w:rPr>
        <w:t>Tổ chức cộng đồng gửi hồ sơ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b)</w:t>
      </w:r>
    </w:p>
    <w:p>
      <w:pPr>
        <w:spacing w:after="0" w:before="0" w:lineRule="auto" w:line="276"/>
        <w:jc w:val="both"/>
      </w:pPr>
      <w:r>
        <w:rPr>
          <w:rFonts w:ascii="Times New Roman" w:hAnsi="Times New Roman" w:cs="Times New Roman" w:eastAsia="Times New Roman"/>
          <w:b w:val="false"/>
          <w:sz w:val="26"/>
        </w:rPr>
        <w:t>Trường hợp nộp hồ sơ trực tiếp: Ủy ban nhân dân cấp xã kiểm tra thành phần hồ sơ và trả lời ngay khi tổ chức, cá nhân đến nộp hồ sơ;</w:t>
      </w:r>
    </w:p>
    <w:p>
      <w:pPr>
        <w:shd w:val="clear" w:color="auto" w:fill="F2F6F9"/>
        <w:spacing w:after="0" w:before="120" w:lineRule="auto" w:line="276"/>
        <w:jc w:val="both"/>
      </w:pPr>
      <w:r>
        <w:rPr>
          <w:rFonts w:ascii="Times New Roman" w:hAnsi="Times New Roman" w:cs="Times New Roman" w:eastAsia="Times New Roman"/>
          <w:b w:val="true"/>
          <w:sz w:val="26"/>
        </w:rPr>
        <w:t>c)</w:t>
      </w:r>
    </w:p>
    <w:p>
      <w:pPr>
        <w:spacing w:after="0" w:before="0" w:lineRule="auto" w:line="276"/>
        <w:jc w:val="both"/>
      </w:pPr>
      <w:r>
        <w:rPr>
          <w:rFonts w:ascii="Times New Roman" w:hAnsi="Times New Roman" w:cs="Times New Roman" w:eastAsia="Times New Roman"/>
          <w:b w:val="false"/>
          <w:sz w:val="26"/>
        </w:rPr>
        <w:t>Trường hợp nộp hồ sơ qua dịch vụ bưu chính hoặc qua môi trường mạng: Trong thời hạn không quá 02 ngày làm việc, Ủy ban nhân dân cấp xã xem xét tính đầy đủ, nếu hồ sơ chưa đầy đủ theo quy định, Ủy ban nhân dân cấp xã thông báo cho tổ chức, cá nhân biết để bổ sung;</w:t>
      </w:r>
    </w:p>
    <w:p>
      <w:pPr>
        <w:shd w:val="clear" w:color="auto" w:fill="F2F6F9"/>
        <w:spacing w:after="0" w:before="120" w:lineRule="auto" w:line="276"/>
        <w:jc w:val="both"/>
      </w:pPr>
      <w:r>
        <w:rPr>
          <w:rFonts w:ascii="Times New Roman" w:hAnsi="Times New Roman" w:cs="Times New Roman" w:eastAsia="Times New Roman"/>
          <w:b w:val="true"/>
          <w:sz w:val="26"/>
        </w:rPr>
        <w:t>d)</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cơ quan có thẩm quyền thông báo Phương án bảo vệ và khai thác nguồn lợi thủy sản trên phương tiện thông tin đại chúng, niêm yết công khai tại trụ sở Ủy ban nhân dân cấp huyện, cấp xã và khu dân cư nơi dự kiến thực hiện đồng quản lý;</w:t>
      </w:r>
    </w:p>
    <w:p>
      <w:pPr>
        <w:shd w:val="clear" w:color="auto" w:fill="F2F6F9"/>
        <w:spacing w:after="0" w:before="120" w:lineRule="auto" w:line="276"/>
        <w:jc w:val="both"/>
      </w:pPr>
      <w:r>
        <w:rPr>
          <w:rFonts w:ascii="Times New Roman" w:hAnsi="Times New Roman" w:cs="Times New Roman" w:eastAsia="Times New Roman"/>
          <w:b w:val="true"/>
          <w:sz w:val="26"/>
        </w:rPr>
        <w:t>đ)</w:t>
      </w:r>
    </w:p>
    <w:p>
      <w:pPr>
        <w:spacing w:after="0" w:before="0" w:lineRule="auto" w:line="276"/>
        <w:jc w:val="both"/>
      </w:pPr>
      <w:r>
        <w:rPr>
          <w:rFonts w:ascii="Times New Roman" w:hAnsi="Times New Roman" w:cs="Times New Roman" w:eastAsia="Times New Roman"/>
          <w:b w:val="false"/>
          <w:sz w:val="26"/>
        </w:rPr>
        <w:t>Trong thời hạn 60 ngày kể từ ngày thông báo Phương án bảo vệ và khai thác nguồn lợi thủy sản trên phương tiện thông tin đại chúng, niêm yết công khai tại trụ sở Ủy ban nhân cấp xã và khu dân cư nơi dự kiến thực hiện đồng quản lý; cơ quan có thẩm quyền tổ chức thẩm định hồ sơ, kiểm tra thực tế (nếu cần), ban hành quyết định công nhận và giao quyền quản lý cho tổ chức cộng đồng theo Mẫu số 06.BT Phụ lục I ban hành kèm theo Nghị định số 26/2019/NĐ-CP. Trường hợp không công nhận và không giao quyền quản lý cho tổ chức cộng đồng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a) Công khai phương án: 03 ngày làm việc;  b) Thẩm định hồ sơ, kiểm tra thực tế (nếu cần), ban hành quyết định công nhận và giao quyền quản lý cho tổ chức cộng: 60 ngày.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a) Công khai phương án: 03 ngày làm việc;  b) Thẩm định hồ sơ, kiểm tra thực tế (nếu cần), ban hành quyết định công nhận và giao quyền quản lý cho tổ chức cộng: 60 ngày.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a) Công khai phương án: 03 ngày làm việc;  b) Thẩm định hồ sơ, kiểm tra thực tế (nếu cần), ban hành quyết định công nhận và giao quyền quản lý cho tổ chức cộng: 60 ngày.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đề nghị công nhận và giao quyền quản lý cho tổ chức cộng đồng;</w:t>
            </w:r>
          </w:p>
        </w:tc>
        <w:tc>
          <w:p/>
          <w:p>
            <w:pPr>
              <w:spacing w:after="0" w:before="0" w:lineRule="auto" w:line="276"/>
              <w:jc w:val="left"/>
            </w:pPr>
            <w:r>
              <w:rPr>
                <w:rFonts w:ascii="Times New Roman" w:hAnsi="Times New Roman" w:cs="Times New Roman" w:eastAsia="Times New Roman"/>
                <w:b w:val="false"/>
                <w:sz w:val="26"/>
              </w:rPr>
              <w:t>Mus25.docx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Phương án bảo vệ và khai thác nguồn lợi thủy sản tại khu vực dự kiến thực hiện đồng quản lý;</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Quy chế hoạt động của tổ chức cộng đồng;</w:t>
            </w:r>
          </w:p>
        </w:tc>
        <w:tc>
          <w:p/>
          <w:p>
            <w:pPr>
              <w:spacing w:after="0" w:before="0" w:lineRule="auto" w:line="276"/>
              <w:jc w:val="left"/>
            </w:pPr>
            <w:r>
              <w:rPr>
                <w:rFonts w:ascii="Times New Roman" w:hAnsi="Times New Roman" w:cs="Times New Roman" w:eastAsia="Times New Roman"/>
                <w:b w:val="false"/>
                <w:sz w:val="26"/>
              </w:rPr>
              <w:t>Mus27.docx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chính biên bản họp tổ chức cộng đồng.</w:t>
            </w:r>
          </w:p>
        </w:tc>
        <w:tc>
          <w:p/>
          <w:p>
            <w:pPr>
              <w:spacing w:after="0" w:before="0" w:lineRule="auto" w:line="276"/>
              <w:jc w:val="left"/>
            </w:pPr>
            <w:r>
              <w:rPr>
                <w:rFonts w:ascii="Times New Roman" w:hAnsi="Times New Roman" w:cs="Times New Roman" w:eastAsia="Times New Roman"/>
                <w:b w:val="false"/>
                <w:sz w:val="26"/>
              </w:rPr>
              <w:t>Mus28.docx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và giao quyền.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26/2019/NĐ-CP</w:t>
            </w:r>
          </w:p>
        </w:tc>
        <w:tc>
          <w:p/>
          <w:p>
            <w:pPr>
              <w:spacing w:after="0" w:before="0" w:lineRule="auto" w:line="276"/>
              <w:jc w:val="left"/>
            </w:pPr>
            <w:r>
              <w:rPr>
                <w:rFonts w:ascii="Times New Roman" w:hAnsi="Times New Roman" w:cs="Times New Roman" w:eastAsia="Times New Roman"/>
                <w:b w:val="false"/>
                <w:sz w:val="26"/>
              </w:rPr>
              <w:t>Nghị định 26/2019/NĐ-CP</w:t>
            </w:r>
          </w:p>
        </w:tc>
        <w:tc>
          <w:p/>
          <w:p>
            <w:pPr>
              <w:spacing w:after="0" w:before="0" w:lineRule="auto" w:line="276"/>
              <w:jc w:val="left"/>
            </w:pPr>
            <w:r>
              <w:rPr>
                <w:rFonts w:ascii="Times New Roman" w:hAnsi="Times New Roman" w:cs="Times New Roman" w:eastAsia="Times New Roman"/>
                <w:b w:val="false"/>
                <w:sz w:val="26"/>
              </w:rPr>
              <w:t>08-03-2019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2025-11-18T02:30:17Z</dcterms:created>
  <dc:creator>Apache POI</dc:creator>
</cp:coreProperties>
</file>