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1.009447.000.00.00.H18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đóng cảng, bến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Cá nhân, tổ chức có nhu cầu công bố đóng cảng, bến thủy nội địa nộp hồ sơ đến cơ quan có thẩm quyền như sau:
- Bộ Xây dựng: đối với cảng thủy nội địa tiếp nhận phương tiện thủy nước ngoài;
- Cục Hàng hải và Đường thủy Việt Nam: đối với cảng thủy nội địa trên đường thủy nội địa quốc gia, đường thủy nội địa chuyên dùng nối với đường thủy nội địa quốc gia, cảng thủy nội địa có vùng nước, vùng đất vừa trên đường thủy nội địa quốc gia vừa trên đường thủy nội địa địa phương, cảng thủy nội địa trong vùng nước cảng biển nối với đường thủy nội địa quốc gia trừ trường hợp thuộc thẩm quyền của Bộ Xây dựng và các trường hợp khác do Bộ Xây dựng quyết định;
- Sở Xây dựng (Trung tâm Phục vụ Hành chính công tỉnh Điện Biên): đối với cảng thủy nội địa trên đường thủy nội địa địa phương, đường thủy nội địa chuyên dùng nối với đường thủy nội địa địa phương, cảng thủy nội địa trong vùng nước cảng biển nối với đường thủy nội địa địa phương trên địa bàn tỉnh, thành phố trực thuộc trung ương trừ trường hợp thuộc thẩm quyền của Bộ Xây dựng và các trường hợp khác do Bộ Xây dựng quyết định.
- Ủy ban nhân dân cấp xã (qua Trung tâm Phục vụ hành chính công cấp xã): đối với bến thủy nội địa và bến khách ngang sông, bến thủy nội địa phục vụ thi công công trình chính trên địa bàn tỉnh, thành phố trực thuộc trung ương.</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được văn bản, đơn đề nghị của cơ quan, chủ cảng, bến thủy nội địa cơ quan có thẩm quyền ban hành quyết định công bố đóng cảng, bến thủy nội địa.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đóng cảng, bến thủy nội địa của chủ cảng, bến thủy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Giao thông vận tải, Cục Đường thủy nội địa Việt Nam, Ủy ban nhân dân cấp xã, 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hoặc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bố đóng cảng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r>
        <w:tc>
          <w:p/>
          <w:p>
            <w:pPr>
              <w:spacing w:after="0" w:before="0" w:lineRule="auto" w:line="276"/>
              <w:jc w:val="left"/>
            </w:pPr>
            <w:r>
              <w:rPr>
                <w:rFonts w:ascii="Times New Roman" w:hAnsi="Times New Roman" w:cs="Times New Roman" w:eastAsia="Times New Roman"/>
                <w:b w:val="false"/>
                <w:sz w:val="26"/>
              </w:rPr>
              <w:t>06/2024/NĐ-CP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08/2021/NĐ-CP ngày 28 tháng 01 năm 2021 của Chính phủ quy định về quản lý hoạt động đường thủy nội địa</w:t>
            </w:r>
          </w:p>
        </w:tc>
        <w:tc>
          <w:p/>
          <w:p>
            <w:pPr>
              <w:spacing w:after="0" w:before="0" w:lineRule="auto" w:line="276"/>
              <w:jc w:val="left"/>
            </w:pPr>
            <w:r>
              <w:rPr>
                <w:rFonts w:ascii="Times New Roman" w:hAnsi="Times New Roman" w:cs="Times New Roman" w:eastAsia="Times New Roman"/>
                <w:b w:val="false"/>
                <w:sz w:val="26"/>
              </w:rPr>
              <w:t>25-01-2024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7/2025/QĐ-UBND</w:t>
            </w:r>
          </w:p>
        </w:tc>
        <w:tc>
          <w:p/>
          <w:p>
            <w:pPr>
              <w:spacing w:after="0" w:before="0" w:lineRule="auto" w:line="276"/>
              <w:jc w:val="left"/>
            </w:pPr>
            <w:r>
              <w:rPr>
                <w:rFonts w:ascii="Times New Roman" w:hAnsi="Times New Roman" w:cs="Times New Roman" w:eastAsia="Times New Roman"/>
                <w:b w:val="false"/>
                <w:sz w:val="26"/>
              </w:rPr>
              <w:t>Quyết định số 7/2025/QĐ-UBND ngày 28/02/2025 của UBND tỉnh Điện Biên Quy định chức năng, nhiệm vụ, quyền hạn và cơ cấu tổ chức của Sở Xây dựng tỉnh Điện Biên</w:t>
            </w:r>
          </w:p>
        </w:tc>
        <w:tc>
          <w:p/>
          <w:p>
            <w:pPr>
              <w:spacing w:after="0" w:before="0" w:lineRule="auto" w:line="276"/>
              <w:jc w:val="left"/>
            </w:pPr>
            <w:r>
              <w:rPr>
                <w:rFonts w:ascii="Times New Roman" w:hAnsi="Times New Roman" w:cs="Times New Roman" w:eastAsia="Times New Roman"/>
                <w:b w:val="false"/>
                <w:sz w:val="26"/>
              </w:rPr>
              <w:t>28-02-2025</w:t>
            </w:r>
          </w:p>
        </w:tc>
        <w:tc>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2025-11-18T01:18:26Z</dcterms:created>
  <dc:creator>Apache POI</dc:creator>
</cp:coreProperties>
</file>