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2.000162.000.00.00.H18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sửa đổi, bổ sung Giấy phép bán lẻ sản phẩm thuốc lá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Thương nhân bán lẻ sản phẩm thuốc lá gửi 01 bộ hồ sơ Bộ phận tiếp nhận và trả kết quả thuộc Văn phòng HĐND- UBND cấp  huyện</w:t>
      </w:r>
    </w:p>
    <w:p>
      <w:pPr>
        <w:spacing w:after="0" w:before="0" w:lineRule="auto" w:line="276"/>
        <w:jc w:val="both"/>
      </w:pPr>
      <w:r>
        <w:rPr>
          <w:rFonts w:ascii="Times New Roman" w:hAnsi="Times New Roman" w:cs="Times New Roman" w:eastAsia="Times New Roman"/>
          <w:b w:val="false"/>
          <w:sz w:val="26"/>
        </w:rPr>
        <w:t>Trong thời hạn 15 ngày làm việc kể từ ngày nhận đủ hồ sơ hợp lệ, Phòng Công Thương xem xét và cấp sửa đổi, bổ sung Giấy phép bán lẻ sản phẩm thuốc lá.</w:t>
      </w:r>
    </w:p>
    <w:p>
      <w:pPr>
        <w:spacing w:after="0" w:before="0" w:lineRule="auto" w:line="276"/>
        <w:jc w:val="both"/>
      </w:pPr>
      <w:r>
        <w:rPr>
          <w:rFonts w:ascii="Times New Roman" w:hAnsi="Times New Roman" w:cs="Times New Roman" w:eastAsia="Times New Roman"/>
          <w:b w:val="false"/>
          <w:sz w:val="26"/>
        </w:rPr>
        <w:t>Trường hợp thương nhân không đáp ứng được điều kiện theo quy định, Phòng Công Thương sẽ có văn bản trả lời từ chối cấp phép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r>
          </w:p>
          <w:p>
            <w:pPr>
              <w:spacing w:after="0" w:before="0" w:lineRule="auto" w:line="276"/>
              <w:jc w:val="left"/>
            </w:pPr>
            <w:r>
              <w:rPr>
                <w:rFonts w:ascii="Times New Roman" w:hAnsi="Times New Roman" w:cs="Times New Roman" w:eastAsia="Times New Roman"/>
                <w:b w:val="false"/>
                <w:sz w:val="26"/>
              </w:rPr>
              <w:t xml:space="preserve">Lệ phí : -Tại khu vực  thành phố, thị xã trực thuộc tỉnh 1.200.000 đồng /điểm kinh doanh/lần thẩm định/hồ sơ -Tại các khu vực khác 600 đồng/điểm kinh doanh/ lần thẩm định </w:t>
            </w:r>
          </w:p>
        </w:tc>
        <w:tc>
          <w:p/>
          <w:p>
            <w:pPr>
              <w:spacing w:after="0" w:before="0" w:lineRule="auto" w:line="276"/>
              <w:jc w:val="left"/>
            </w:pPr>
            <w:r>
              <w:rPr>
                <w:rFonts w:ascii="Times New Roman" w:hAnsi="Times New Roman" w:cs="Times New Roman" w:eastAsia="Times New Roman"/>
                <w:b w:val="false"/>
                <w:sz w:val="26"/>
              </w:rPr>
              <w:t>Trong thời hạn 15 ngày làm việc kể từ ngày nhận đủ hồ sơ hợp lệ, Phòng Công Thương xem xét và cấp sửa đổi, bổ sung Giấy phép bán lẻ sản phẩm thuốc lá. Trường hợp thương nhân không đáp ứng được điều kiện theo quy định Phòng Công Thương sẽ có văn bản trả lời từ chối cấp phép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Lệ phí : -Tại khu vực  thành phố, thị xã trực thuộc tỉnh 1.200.000 đồng /điểm kinh doanh/lần thẩm định/hồ sơ -Tại các khu vực khác 600 đồng/điểm kinh doanh/ lần thẩm định </w:t>
            </w:r>
          </w:p>
          <w:p>
            <w:pPr>
              <w:spacing w:after="0" w:before="0" w:lineRule="auto" w:line="276"/>
              <w:jc w:val="left"/>
            </w:pPr>
            <w:r>
              <w:rPr>
                <w:rFonts w:ascii="Times New Roman" w:hAnsi="Times New Roman" w:cs="Times New Roman" w:eastAsia="Times New Roman"/>
                <w:b w:val="false"/>
                <w:sz w:val="26"/>
              </w:rPr>
              <w:t xml:space="preserve">Phí :  </w:t>
            </w:r>
          </w:p>
        </w:tc>
        <w:tc>
          <w:p/>
          <w:p>
            <w:pPr>
              <w:spacing w:after="0" w:before="0" w:lineRule="auto" w:line="276"/>
              <w:jc w:val="left"/>
            </w:pPr>
            <w:r>
              <w:rPr>
                <w:rFonts w:ascii="Times New Roman" w:hAnsi="Times New Roman" w:cs="Times New Roman" w:eastAsia="Times New Roman"/>
                <w:b w:val="false"/>
                <w:sz w:val="26"/>
              </w:rPr>
              <w:t>Trong thời hạn 15 ngày làm việc kể từ ngày nhận đủ hồ sơ hợp lệ, Phòng Công Thương xem xét và cấp sửa đổi, bổ sung Giấy phép bán lẻ sản phẩm thuốc lá. Trường hợp thương nhân không đáp ứng được điều kiện theo quy định Phòng Công Thương sẽ có văn bản trả lời từ chối cấp phép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cấp sửa đổi, bổ sung;</w:t>
            </w:r>
          </w:p>
        </w:tc>
        <w:tc>
          <w:p/>
          <w:p>
            <w:pPr>
              <w:spacing w:after="0" w:before="0" w:lineRule="auto" w:line="276"/>
              <w:jc w:val="left"/>
            </w:pPr>
            <w:r>
              <w:rPr>
                <w:rFonts w:ascii="Times New Roman" w:hAnsi="Times New Roman" w:cs="Times New Roman" w:eastAsia="Times New Roman"/>
                <w:b w:val="false"/>
                <w:sz w:val="26"/>
              </w:rPr>
              <w:t>PL46.docx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bán lẻ sản phẩm thuốc lá đã được cấp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tài liệu chứng minh nhu cầu sửa đổi,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Sửa đổi Giấy phép bán lẻ sản phẩm thuốc lá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09/2012/QH13</w:t>
            </w:r>
          </w:p>
        </w:tc>
        <w:tc>
          <w:p/>
          <w:p>
            <w:pPr>
              <w:spacing w:after="0" w:before="0" w:lineRule="auto" w:line="276"/>
              <w:jc w:val="left"/>
            </w:pPr>
            <w:r>
              <w:rPr>
                <w:rFonts w:ascii="Times New Roman" w:hAnsi="Times New Roman" w:cs="Times New Roman" w:eastAsia="Times New Roman"/>
                <w:b w:val="false"/>
                <w:sz w:val="26"/>
              </w:rPr>
              <w:t>Luật 09/2012/QH13</w:t>
            </w:r>
          </w:p>
        </w:tc>
        <w:tc>
          <w:p/>
          <w:p>
            <w:pPr>
              <w:spacing w:after="0" w:before="0" w:lineRule="auto" w:line="276"/>
              <w:jc w:val="left"/>
            </w:pPr>
            <w:r>
              <w:rPr>
                <w:rFonts w:ascii="Times New Roman" w:hAnsi="Times New Roman" w:cs="Times New Roman" w:eastAsia="Times New Roman"/>
                <w:b w:val="false"/>
                <w:sz w:val="26"/>
              </w:rPr>
              <w:t>18-06-2012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67/2013/NĐ-CP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chống tác hại của thuốc lá về kinh doanh thuốc lá</w:t>
            </w:r>
          </w:p>
        </w:tc>
        <w:tc>
          <w:p/>
          <w:p>
            <w:pPr>
              <w:spacing w:after="0" w:before="0" w:lineRule="auto" w:line="276"/>
              <w:jc w:val="left"/>
            </w:pPr>
            <w:r>
              <w:rPr>
                <w:rFonts w:ascii="Times New Roman" w:hAnsi="Times New Roman" w:cs="Times New Roman" w:eastAsia="Times New Roman"/>
                <w:b w:val="false"/>
                <w:sz w:val="26"/>
              </w:rPr>
              <w:t>27-06-2013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21/2013/TT-BCT</w:t>
            </w:r>
          </w:p>
        </w:tc>
        <w:tc>
          <w:p/>
          <w:p>
            <w:pPr>
              <w:spacing w:after="0" w:before="0" w:lineRule="auto" w:line="276"/>
              <w:jc w:val="left"/>
            </w:pPr>
            <w:r>
              <w:rPr>
                <w:rFonts w:ascii="Times New Roman" w:hAnsi="Times New Roman" w:cs="Times New Roman" w:eastAsia="Times New Roman"/>
                <w:b w:val="false"/>
                <w:sz w:val="26"/>
              </w:rPr>
              <w:t>Quy định chi tiết một số điều của Nghị định số 67/2013/NĐ-CP ngày 27 tháng 6 năm 2013 của Chính phủ quy định chi tiết một số điều và biện pháp thi hành Luật Phòng, chống tác hại của thuốc lá về kinh doanh thuốc lá</w:t>
            </w:r>
          </w:p>
        </w:tc>
        <w:tc>
          <w:p/>
          <w:p>
            <w:pPr>
              <w:spacing w:after="0" w:before="0" w:lineRule="auto" w:line="276"/>
              <w:jc w:val="left"/>
            </w:pPr>
            <w:r>
              <w:rPr>
                <w:rFonts w:ascii="Times New Roman" w:hAnsi="Times New Roman" w:cs="Times New Roman" w:eastAsia="Times New Roman"/>
                <w:b w:val="false"/>
                <w:sz w:val="26"/>
              </w:rPr>
              <w:t>25-09-2013</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08/2018/NĐ-CP</w:t>
            </w:r>
          </w:p>
        </w:tc>
        <w:tc>
          <w:p/>
          <w:p>
            <w:pPr>
              <w:spacing w:after="0" w:before="0" w:lineRule="auto" w:line="276"/>
              <w:jc w:val="left"/>
            </w:pPr>
            <w:r>
              <w:rPr>
                <w:rFonts w:ascii="Times New Roman" w:hAnsi="Times New Roman" w:cs="Times New Roman" w:eastAsia="Times New Roman"/>
                <w:b w:val="false"/>
                <w:sz w:val="26"/>
              </w:rPr>
              <w:t>Sửa đổi một số Nghị định liên quan đến điều kiện đầu tư kinh doanh thuộc phạm vi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Thương nhân được thành lập theo quy định của pháp luật;
b) Địa điểm kinh doanh không vi phạm quy định về địa điểm không được bán thuốc lá theo quy định tại Khoản 2 Điều 25 (Bán thuốc lá) Luật Phòng, chống tác hại của thuốc lá năm 2012 ;
c) Có văn bản giới thiệu của các thương nhân phân phối hoặc thương nhân bán buôn sản phẩm thuốc lá ghi rõ địa bàn dự kiến kinh doanh;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2025-11-18T01:36:13Z</dcterms:created>
  <dc:creator>Apache POI</dc:creator>
</cp:coreProperties>
</file>