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tổ hợp tác gửi văn bản đề nghị cấp lại đến Trung tâm Phục vụ hành chính công cấp xã</w:t>
      </w:r>
    </w:p>
    <w:p>
      <w:pPr>
        <w:spacing w:after="0" w:before="0" w:lineRule="auto" w:line="276"/>
        <w:jc w:val="both"/>
      </w:pPr>
      <w:r>
        <w:rPr>
          <w:rFonts w:ascii="Times New Roman" w:hAnsi="Times New Roman" w:cs="Times New Roman" w:eastAsia="Times New Roman"/>
          <w:b w:val="false"/>
          <w:sz w:val="26"/>
        </w:rPr>
        <w:t>Cơ quan đăng ký kinh doanh cấp xã xem xét cấp lại Giấy chứng nhận đăng ký tổ hợp tác trong thời hạn 03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Trường hợp hồ sơ chưa hợp lệ hoặc tên tổ hợp tác yêu cầu đăng ký không đúng theo quy định hoặc thông tin kê khai trong hồ sơ đăng ký không thống nhất, cơ quan đăng ký kinh doanh cấp xã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xã ghi toàn bộ yêu cầu sửa đổi, bổ sung hồ sơ đăng ký đối với mỗi một bộ hồ sơ do tổ hợp tác,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2025-11-18T02:24:19Z</dcterms:created>
  <dc:creator>Apache POI</dc:creator>
</cp:coreProperties>
</file>