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di dời công trình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di dời công trình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di dời công trình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di dời công trình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di dời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0 đồng </w:t>
              <w:t xml:space="preserve"> (Trường hợp hồ sơ nộp trực tuyến: 0 đồng/GPXD)</w:t>
              <w:br/>
              <w:t>File đính kèm: 04NQQPPLK21_000119.07.2025_09h30p09_signed.pdf</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Các tài liệu quy định tại Khoản 2, Khoản 3, Khoản 4 và Khoản 5 Điều 97 Luật Xây dựng năm 2014 bao gồm:  + Bản sao giấy tờ chứng minh quyền sử dụng đất nơi công trình sẽ di dời đến và giấy tờ hợp pháp về sở hữu công trình theo quy định của pháp luật. +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 + Báo cáo kết quả khảo sát đánh giá chất lượng hiện trạng của công trình do tổ chức, cá nhân có đủ điều kiện năng lực thực hiện.  + Phương án di dời do tổ chức, cá nhân có đủ điều kiện năng lực thực hiện gồm: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di dời công trình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2025-11-18T01:24:18Z</dcterms:created>
  <dc:creator>Apache POI</dc:creator>
</cp:coreProperties>
</file>